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FA7D0" w14:textId="77777777" w:rsidR="00F4367A" w:rsidRPr="001B062E" w:rsidRDefault="00B15BED" w:rsidP="0051095A">
      <w:pPr>
        <w:ind w:left="2880"/>
        <w:jc w:val="right"/>
        <w:rPr>
          <w:color w:val="FF0000"/>
        </w:rPr>
      </w:pPr>
      <w:r w:rsidRPr="001B062E">
        <w:rPr>
          <w:noProof/>
          <w:color w:val="FF0000"/>
          <w:lang w:eastAsia="en-GB"/>
        </w:rPr>
        <w:drawing>
          <wp:inline distT="0" distB="0" distL="0" distR="0" wp14:anchorId="1BD462A4" wp14:editId="3DD8DFA1">
            <wp:extent cx="938530" cy="1256030"/>
            <wp:effectExtent l="0" t="0" r="0" b="1270"/>
            <wp:docPr id="1" name="Picture 1"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8530" cy="1256030"/>
                    </a:xfrm>
                    <a:prstGeom prst="rect">
                      <a:avLst/>
                    </a:prstGeom>
                    <a:noFill/>
                    <a:ln>
                      <a:noFill/>
                    </a:ln>
                  </pic:spPr>
                </pic:pic>
              </a:graphicData>
            </a:graphic>
          </wp:inline>
        </w:drawing>
      </w:r>
    </w:p>
    <w:p w14:paraId="0E85A863" w14:textId="77777777" w:rsidR="00C553A7" w:rsidRPr="001B062E" w:rsidRDefault="00C553A7">
      <w:pPr>
        <w:tabs>
          <w:tab w:val="left" w:pos="2160"/>
        </w:tabs>
        <w:rPr>
          <w:b/>
          <w:bCs/>
          <w:color w:val="FF0000"/>
          <w:sz w:val="32"/>
        </w:rPr>
      </w:pPr>
    </w:p>
    <w:tbl>
      <w:tblPr>
        <w:tblW w:w="0" w:type="auto"/>
        <w:tblInd w:w="108" w:type="dxa"/>
        <w:tblLayout w:type="fixed"/>
        <w:tblLook w:val="04A0" w:firstRow="1" w:lastRow="0" w:firstColumn="1" w:lastColumn="0" w:noHBand="0" w:noVBand="1"/>
      </w:tblPr>
      <w:tblGrid>
        <w:gridCol w:w="2438"/>
        <w:gridCol w:w="6406"/>
      </w:tblGrid>
      <w:tr w:rsidR="00C553A7" w:rsidRPr="00F95BC9" w14:paraId="68999FEA" w14:textId="77777777" w:rsidTr="001C210C">
        <w:tc>
          <w:tcPr>
            <w:tcW w:w="2438" w:type="dxa"/>
            <w:shd w:val="clear" w:color="auto" w:fill="auto"/>
          </w:tcPr>
          <w:p w14:paraId="38999EEE" w14:textId="77777777" w:rsidR="00C553A7" w:rsidRPr="00975B07" w:rsidRDefault="00C553A7" w:rsidP="00C553A7">
            <w:pPr>
              <w:spacing w:before="240"/>
              <w:rPr>
                <w:rStyle w:val="Firstpagetablebold"/>
              </w:rPr>
            </w:pPr>
            <w:r w:rsidRPr="00975B07">
              <w:rPr>
                <w:rStyle w:val="Firstpagetablebold"/>
              </w:rPr>
              <w:t>To:</w:t>
            </w:r>
          </w:p>
        </w:tc>
        <w:tc>
          <w:tcPr>
            <w:tcW w:w="6406" w:type="dxa"/>
            <w:shd w:val="clear" w:color="auto" w:fill="auto"/>
          </w:tcPr>
          <w:p w14:paraId="7872D671" w14:textId="77777777" w:rsidR="00C553A7" w:rsidRPr="00F95BC9" w:rsidRDefault="00C553A7" w:rsidP="00C553A7">
            <w:pPr>
              <w:spacing w:before="240"/>
              <w:rPr>
                <w:rStyle w:val="Firstpagetablebold"/>
              </w:rPr>
            </w:pPr>
            <w:r>
              <w:rPr>
                <w:rStyle w:val="Firstpagetablebold"/>
              </w:rPr>
              <w:t>Council</w:t>
            </w:r>
          </w:p>
        </w:tc>
      </w:tr>
      <w:tr w:rsidR="00C553A7" w:rsidRPr="001356F1" w14:paraId="6C520BAA" w14:textId="77777777" w:rsidTr="001C210C">
        <w:tc>
          <w:tcPr>
            <w:tcW w:w="2438" w:type="dxa"/>
            <w:shd w:val="clear" w:color="auto" w:fill="auto"/>
          </w:tcPr>
          <w:p w14:paraId="6898BF61" w14:textId="77777777" w:rsidR="00C553A7" w:rsidRPr="00975B07" w:rsidRDefault="00C553A7" w:rsidP="00C553A7">
            <w:pPr>
              <w:spacing w:before="240"/>
              <w:rPr>
                <w:rStyle w:val="Firstpagetablebold"/>
              </w:rPr>
            </w:pPr>
            <w:r w:rsidRPr="00975B07">
              <w:rPr>
                <w:rStyle w:val="Firstpagetablebold"/>
              </w:rPr>
              <w:t>Date:</w:t>
            </w:r>
          </w:p>
        </w:tc>
        <w:tc>
          <w:tcPr>
            <w:tcW w:w="6406" w:type="dxa"/>
            <w:shd w:val="clear" w:color="auto" w:fill="auto"/>
          </w:tcPr>
          <w:p w14:paraId="46F2D13E" w14:textId="5D3B6C1A" w:rsidR="00C553A7" w:rsidRPr="00C553A7" w:rsidRDefault="00941A12" w:rsidP="008863DE">
            <w:pPr>
              <w:spacing w:before="240"/>
              <w:rPr>
                <w:b/>
              </w:rPr>
            </w:pPr>
            <w:r>
              <w:rPr>
                <w:rFonts w:cs="Arial"/>
                <w:b/>
                <w:bCs/>
              </w:rPr>
              <w:t>07 October</w:t>
            </w:r>
            <w:r w:rsidR="00607388">
              <w:rPr>
                <w:rFonts w:cs="Arial"/>
                <w:b/>
                <w:bCs/>
              </w:rPr>
              <w:t xml:space="preserve"> 2024</w:t>
            </w:r>
          </w:p>
        </w:tc>
      </w:tr>
      <w:tr w:rsidR="00C553A7" w:rsidRPr="001356F1" w14:paraId="425D2ABF" w14:textId="77777777" w:rsidTr="001C210C">
        <w:tc>
          <w:tcPr>
            <w:tcW w:w="2438" w:type="dxa"/>
            <w:shd w:val="clear" w:color="auto" w:fill="auto"/>
          </w:tcPr>
          <w:p w14:paraId="2296784A" w14:textId="77777777" w:rsidR="00C553A7" w:rsidRPr="00975B07" w:rsidRDefault="00C553A7" w:rsidP="00C553A7">
            <w:pPr>
              <w:spacing w:before="240"/>
              <w:rPr>
                <w:rStyle w:val="Firstpagetablebold"/>
              </w:rPr>
            </w:pPr>
            <w:r w:rsidRPr="00975B07">
              <w:rPr>
                <w:rStyle w:val="Firstpagetablebold"/>
              </w:rPr>
              <w:t>Report of:</w:t>
            </w:r>
          </w:p>
        </w:tc>
        <w:tc>
          <w:tcPr>
            <w:tcW w:w="6406" w:type="dxa"/>
            <w:shd w:val="clear" w:color="auto" w:fill="auto"/>
          </w:tcPr>
          <w:p w14:paraId="0191685B" w14:textId="77777777" w:rsidR="00C553A7" w:rsidRPr="00C553A7" w:rsidRDefault="00C553A7" w:rsidP="00C553A7">
            <w:pPr>
              <w:spacing w:before="240"/>
              <w:rPr>
                <w:rStyle w:val="Firstpagetablebold"/>
                <w:b w:val="0"/>
              </w:rPr>
            </w:pPr>
            <w:r w:rsidRPr="00C553A7">
              <w:rPr>
                <w:rFonts w:cs="Arial"/>
                <w:b/>
                <w:bCs/>
              </w:rPr>
              <w:t>Chair of the Scrutiny Committee</w:t>
            </w:r>
          </w:p>
        </w:tc>
      </w:tr>
      <w:tr w:rsidR="00C553A7" w:rsidRPr="001356F1" w14:paraId="1413B98B" w14:textId="77777777" w:rsidTr="001C210C">
        <w:tc>
          <w:tcPr>
            <w:tcW w:w="2438" w:type="dxa"/>
            <w:shd w:val="clear" w:color="auto" w:fill="auto"/>
          </w:tcPr>
          <w:p w14:paraId="0B3DCA5E" w14:textId="77777777" w:rsidR="00C553A7" w:rsidRPr="00975B07" w:rsidRDefault="00C553A7" w:rsidP="00C553A7">
            <w:pPr>
              <w:spacing w:before="240"/>
              <w:rPr>
                <w:rStyle w:val="Firstpagetablebold"/>
              </w:rPr>
            </w:pPr>
            <w:r w:rsidRPr="00975B07">
              <w:rPr>
                <w:rStyle w:val="Firstpagetablebold"/>
              </w:rPr>
              <w:t xml:space="preserve">Title of Report: </w:t>
            </w:r>
          </w:p>
        </w:tc>
        <w:tc>
          <w:tcPr>
            <w:tcW w:w="6406" w:type="dxa"/>
            <w:shd w:val="clear" w:color="auto" w:fill="auto"/>
          </w:tcPr>
          <w:p w14:paraId="5C892315" w14:textId="77777777" w:rsidR="00C553A7" w:rsidRPr="00E04DB3" w:rsidRDefault="00E04DB3" w:rsidP="00100E1D">
            <w:pPr>
              <w:spacing w:before="240"/>
              <w:rPr>
                <w:rStyle w:val="Firstpagetablebold"/>
                <w:b w:val="0"/>
              </w:rPr>
            </w:pPr>
            <w:r w:rsidRPr="00E04DB3">
              <w:rPr>
                <w:rFonts w:cs="Arial"/>
                <w:b/>
                <w:bCs/>
              </w:rPr>
              <w:t xml:space="preserve">Scrutiny </w:t>
            </w:r>
            <w:r w:rsidR="00100E1D">
              <w:rPr>
                <w:rFonts w:cs="Arial"/>
                <w:b/>
                <w:bCs/>
              </w:rPr>
              <w:t>Committee Update Report</w:t>
            </w:r>
          </w:p>
        </w:tc>
      </w:tr>
    </w:tbl>
    <w:p w14:paraId="53C1C5F6" w14:textId="77777777" w:rsidR="00C553A7" w:rsidRDefault="00C553A7">
      <w:pPr>
        <w:tabs>
          <w:tab w:val="left" w:pos="2160"/>
        </w:tabs>
        <w:rPr>
          <w:b/>
          <w:bCs/>
          <w:sz w:val="32"/>
        </w:r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2"/>
        <w:gridCol w:w="6738"/>
      </w:tblGrid>
      <w:tr w:rsidR="00C553A7" w14:paraId="2D3E6442" w14:textId="77777777" w:rsidTr="00E9602F">
        <w:tc>
          <w:tcPr>
            <w:tcW w:w="9170" w:type="dxa"/>
            <w:gridSpan w:val="2"/>
            <w:tcBorders>
              <w:bottom w:val="single" w:sz="8" w:space="0" w:color="000000"/>
            </w:tcBorders>
            <w:hideMark/>
          </w:tcPr>
          <w:p w14:paraId="4BD45E9C" w14:textId="77777777" w:rsidR="00C553A7" w:rsidRDefault="00C553A7" w:rsidP="001C210C">
            <w:pPr>
              <w:jc w:val="center"/>
              <w:rPr>
                <w:rStyle w:val="Firstpagetablebold"/>
              </w:rPr>
            </w:pPr>
            <w:r>
              <w:rPr>
                <w:rStyle w:val="Firstpagetablebold"/>
              </w:rPr>
              <w:t>Summary and recommendations</w:t>
            </w:r>
          </w:p>
        </w:tc>
      </w:tr>
      <w:tr w:rsidR="00C553A7" w14:paraId="48AC204C" w14:textId="77777777" w:rsidTr="005D486D">
        <w:tc>
          <w:tcPr>
            <w:tcW w:w="2432" w:type="dxa"/>
            <w:tcBorders>
              <w:top w:val="single" w:sz="8" w:space="0" w:color="000000"/>
              <w:left w:val="single" w:sz="8" w:space="0" w:color="000000"/>
              <w:bottom w:val="nil"/>
              <w:right w:val="nil"/>
            </w:tcBorders>
            <w:hideMark/>
          </w:tcPr>
          <w:p w14:paraId="4D990CCB" w14:textId="77777777" w:rsidR="00C553A7" w:rsidRDefault="00C553A7" w:rsidP="00C553A7">
            <w:pPr>
              <w:spacing w:after="240"/>
              <w:rPr>
                <w:rStyle w:val="Firstpagetablebold"/>
              </w:rPr>
            </w:pPr>
            <w:r>
              <w:rPr>
                <w:rStyle w:val="Firstpagetablebold"/>
              </w:rPr>
              <w:t>Purpose of report:</w:t>
            </w:r>
          </w:p>
        </w:tc>
        <w:tc>
          <w:tcPr>
            <w:tcW w:w="6738" w:type="dxa"/>
            <w:tcBorders>
              <w:top w:val="single" w:sz="8" w:space="0" w:color="000000"/>
              <w:left w:val="nil"/>
              <w:bottom w:val="nil"/>
              <w:right w:val="single" w:sz="8" w:space="0" w:color="000000"/>
            </w:tcBorders>
            <w:hideMark/>
          </w:tcPr>
          <w:p w14:paraId="038CB944" w14:textId="77777777" w:rsidR="00C553A7" w:rsidRPr="001356F1" w:rsidRDefault="00E04DB3" w:rsidP="00E04DB3">
            <w:pPr>
              <w:spacing w:after="240"/>
            </w:pPr>
            <w:r>
              <w:rPr>
                <w:rFonts w:cs="Arial"/>
              </w:rPr>
              <w:t>To update Co</w:t>
            </w:r>
            <w:r w:rsidR="00D714F4">
              <w:rPr>
                <w:rFonts w:cs="Arial"/>
              </w:rPr>
              <w:t>uncil on the activities of the S</w:t>
            </w:r>
            <w:r>
              <w:rPr>
                <w:rFonts w:cs="Arial"/>
              </w:rPr>
              <w:t>crutiny function</w:t>
            </w:r>
          </w:p>
        </w:tc>
      </w:tr>
      <w:tr w:rsidR="005D486D" w14:paraId="57716CC3" w14:textId="77777777" w:rsidTr="005D486D">
        <w:tc>
          <w:tcPr>
            <w:tcW w:w="2432" w:type="dxa"/>
            <w:tcBorders>
              <w:top w:val="nil"/>
              <w:left w:val="single" w:sz="8" w:space="0" w:color="000000"/>
              <w:bottom w:val="nil"/>
              <w:right w:val="nil"/>
            </w:tcBorders>
          </w:tcPr>
          <w:p w14:paraId="0E5FDF1A" w14:textId="77777777" w:rsidR="005D486D" w:rsidRDefault="005D486D" w:rsidP="00C553A7">
            <w:pPr>
              <w:spacing w:after="240"/>
              <w:rPr>
                <w:rStyle w:val="Firstpagetablebold"/>
              </w:rPr>
            </w:pPr>
            <w:r>
              <w:rPr>
                <w:rStyle w:val="Firstpagetablebold"/>
              </w:rPr>
              <w:t>Scrutiny Lead Member:</w:t>
            </w:r>
          </w:p>
        </w:tc>
        <w:tc>
          <w:tcPr>
            <w:tcW w:w="6738" w:type="dxa"/>
            <w:tcBorders>
              <w:top w:val="nil"/>
              <w:left w:val="nil"/>
              <w:bottom w:val="nil"/>
              <w:right w:val="single" w:sz="8" w:space="0" w:color="000000"/>
            </w:tcBorders>
          </w:tcPr>
          <w:p w14:paraId="0EFE939B" w14:textId="69122E3C" w:rsidR="005D486D" w:rsidRDefault="005D486D" w:rsidP="00056225">
            <w:pPr>
              <w:spacing w:after="240"/>
              <w:rPr>
                <w:rFonts w:cs="Arial"/>
              </w:rPr>
            </w:pPr>
            <w:r>
              <w:rPr>
                <w:rFonts w:cs="Arial"/>
              </w:rPr>
              <w:t xml:space="preserve">Councillor </w:t>
            </w:r>
            <w:r w:rsidR="000133A8">
              <w:rPr>
                <w:rFonts w:cs="Arial"/>
              </w:rPr>
              <w:t>Katherine Miles</w:t>
            </w:r>
            <w:r>
              <w:rPr>
                <w:rFonts w:cs="Arial"/>
              </w:rPr>
              <w:t>, Chair of the Scrutiny Committee</w:t>
            </w:r>
          </w:p>
        </w:tc>
      </w:tr>
      <w:tr w:rsidR="00C553A7" w14:paraId="02B02C6A" w14:textId="77777777" w:rsidTr="00E9602F">
        <w:tc>
          <w:tcPr>
            <w:tcW w:w="2432" w:type="dxa"/>
            <w:tcBorders>
              <w:top w:val="nil"/>
              <w:left w:val="single" w:sz="8" w:space="0" w:color="000000"/>
              <w:bottom w:val="nil"/>
              <w:right w:val="nil"/>
            </w:tcBorders>
          </w:tcPr>
          <w:p w14:paraId="35664B4F" w14:textId="77777777" w:rsidR="00C553A7" w:rsidRDefault="00C553A7" w:rsidP="00C553A7">
            <w:pPr>
              <w:spacing w:after="240"/>
              <w:rPr>
                <w:rStyle w:val="Firstpagetablebold"/>
              </w:rPr>
            </w:pPr>
            <w:r>
              <w:rPr>
                <w:rStyle w:val="Firstpagetablebold"/>
              </w:rPr>
              <w:t>Corporate Priority:</w:t>
            </w:r>
          </w:p>
        </w:tc>
        <w:tc>
          <w:tcPr>
            <w:tcW w:w="6738" w:type="dxa"/>
            <w:tcBorders>
              <w:top w:val="nil"/>
              <w:left w:val="nil"/>
              <w:bottom w:val="nil"/>
              <w:right w:val="single" w:sz="8" w:space="0" w:color="000000"/>
            </w:tcBorders>
          </w:tcPr>
          <w:p w14:paraId="3063E0B4" w14:textId="77777777" w:rsidR="00C553A7" w:rsidRPr="001356F1" w:rsidRDefault="0008681C" w:rsidP="00C553A7">
            <w:pPr>
              <w:spacing w:after="240"/>
            </w:pPr>
            <w:r>
              <w:t>All</w:t>
            </w:r>
          </w:p>
        </w:tc>
      </w:tr>
      <w:tr w:rsidR="00C553A7" w14:paraId="5D24E84D" w14:textId="77777777" w:rsidTr="00E9602F">
        <w:tc>
          <w:tcPr>
            <w:tcW w:w="2432" w:type="dxa"/>
            <w:tcBorders>
              <w:top w:val="nil"/>
              <w:left w:val="single" w:sz="8" w:space="0" w:color="000000"/>
              <w:bottom w:val="nil"/>
              <w:right w:val="nil"/>
            </w:tcBorders>
            <w:hideMark/>
          </w:tcPr>
          <w:p w14:paraId="3BA49BE0" w14:textId="77777777" w:rsidR="00C553A7" w:rsidRDefault="00C553A7" w:rsidP="00C553A7">
            <w:pPr>
              <w:spacing w:after="240"/>
              <w:rPr>
                <w:rStyle w:val="Firstpagetablebold"/>
              </w:rPr>
            </w:pPr>
            <w:r>
              <w:rPr>
                <w:rStyle w:val="Firstpagetablebold"/>
              </w:rPr>
              <w:t>Policy Framework:</w:t>
            </w:r>
          </w:p>
        </w:tc>
        <w:tc>
          <w:tcPr>
            <w:tcW w:w="6738" w:type="dxa"/>
            <w:tcBorders>
              <w:top w:val="nil"/>
              <w:left w:val="nil"/>
              <w:bottom w:val="nil"/>
              <w:right w:val="single" w:sz="8" w:space="0" w:color="000000"/>
            </w:tcBorders>
            <w:hideMark/>
          </w:tcPr>
          <w:p w14:paraId="34FCB127" w14:textId="6FC5224A" w:rsidR="00C553A7" w:rsidRPr="001356F1" w:rsidRDefault="005B15E4" w:rsidP="0008681C">
            <w:pPr>
              <w:spacing w:after="240"/>
            </w:pPr>
            <w:r>
              <w:t>C</w:t>
            </w:r>
            <w:r w:rsidR="0008681C">
              <w:t>ouncil Strategy 202</w:t>
            </w:r>
            <w:r w:rsidR="00941A12">
              <w:t>4</w:t>
            </w:r>
            <w:r w:rsidR="0008681C">
              <w:t>-2</w:t>
            </w:r>
            <w:r w:rsidR="00941A12">
              <w:t>8</w:t>
            </w:r>
          </w:p>
        </w:tc>
      </w:tr>
      <w:tr w:rsidR="00C553A7" w:rsidRPr="00975B07" w14:paraId="0F4BEA94" w14:textId="77777777" w:rsidTr="00E9602F">
        <w:trPr>
          <w:trHeight w:val="413"/>
        </w:trPr>
        <w:tc>
          <w:tcPr>
            <w:tcW w:w="9170" w:type="dxa"/>
            <w:gridSpan w:val="2"/>
            <w:tcBorders>
              <w:bottom w:val="single" w:sz="8" w:space="0" w:color="000000"/>
            </w:tcBorders>
          </w:tcPr>
          <w:p w14:paraId="6BF0C895" w14:textId="77777777" w:rsidR="00C553A7" w:rsidRPr="00975B07" w:rsidRDefault="00525F1B" w:rsidP="00525F1B">
            <w:r>
              <w:rPr>
                <w:rStyle w:val="Firstpagetablebold"/>
              </w:rPr>
              <w:t>Recommendation</w:t>
            </w:r>
            <w:r w:rsidR="00C553A7">
              <w:rPr>
                <w:rStyle w:val="Firstpagetablebold"/>
              </w:rPr>
              <w:t>:</w:t>
            </w:r>
            <w:r>
              <w:rPr>
                <w:rStyle w:val="Firstpagetablebold"/>
              </w:rPr>
              <w:t xml:space="preserve"> </w:t>
            </w:r>
            <w:r w:rsidR="00C553A7" w:rsidRPr="00525F1B">
              <w:rPr>
                <w:rStyle w:val="Firstpagetablebold"/>
                <w:b w:val="0"/>
              </w:rPr>
              <w:t xml:space="preserve">That </w:t>
            </w:r>
            <w:r w:rsidRPr="00525F1B">
              <w:rPr>
                <w:rStyle w:val="Firstpagetablebold"/>
                <w:b w:val="0"/>
              </w:rPr>
              <w:t>Council</w:t>
            </w:r>
            <w:r w:rsidR="00C553A7" w:rsidRPr="00525F1B">
              <w:rPr>
                <w:rStyle w:val="Firstpagetablebold"/>
                <w:b w:val="0"/>
              </w:rPr>
              <w:t xml:space="preserve"> resolves to</w:t>
            </w:r>
            <w:r w:rsidRPr="00525F1B">
              <w:rPr>
                <w:rFonts w:cs="Arial"/>
                <w:b/>
              </w:rPr>
              <w:t xml:space="preserve"> </w:t>
            </w:r>
            <w:r w:rsidRPr="002548B2">
              <w:rPr>
                <w:rFonts w:cs="Arial"/>
              </w:rPr>
              <w:t>note the update report.</w:t>
            </w:r>
          </w:p>
        </w:tc>
      </w:tr>
    </w:tbl>
    <w:p w14:paraId="6E72D959" w14:textId="77777777" w:rsidR="008B150B" w:rsidRDefault="008B150B" w:rsidP="00F27C3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F36012" w:rsidRPr="00F36012" w14:paraId="40BA80CA" w14:textId="77777777" w:rsidTr="008863DE">
        <w:tc>
          <w:tcPr>
            <w:tcW w:w="9096" w:type="dxa"/>
            <w:tcBorders>
              <w:top w:val="single" w:sz="8" w:space="0" w:color="000000"/>
              <w:left w:val="single" w:sz="8" w:space="0" w:color="000000"/>
              <w:bottom w:val="single" w:sz="8" w:space="0" w:color="000000"/>
              <w:right w:val="single" w:sz="8" w:space="0" w:color="000000"/>
            </w:tcBorders>
            <w:shd w:val="clear" w:color="auto" w:fill="auto"/>
          </w:tcPr>
          <w:p w14:paraId="44C12523" w14:textId="77777777" w:rsidR="00F36012" w:rsidRPr="00E66A45" w:rsidRDefault="00F36012" w:rsidP="00F36012">
            <w:pPr>
              <w:spacing w:after="120"/>
              <w:jc w:val="center"/>
              <w:rPr>
                <w:lang w:eastAsia="en-GB"/>
              </w:rPr>
            </w:pPr>
            <w:r w:rsidRPr="00E66A45">
              <w:rPr>
                <w:b/>
                <w:lang w:eastAsia="en-GB"/>
              </w:rPr>
              <w:t>Appendices</w:t>
            </w:r>
          </w:p>
        </w:tc>
      </w:tr>
      <w:tr w:rsidR="004939F2" w:rsidRPr="00F36012" w14:paraId="609BFE28" w14:textId="77777777" w:rsidTr="009525F6">
        <w:tc>
          <w:tcPr>
            <w:tcW w:w="9096" w:type="dxa"/>
            <w:tcBorders>
              <w:top w:val="single" w:sz="8" w:space="0" w:color="000000"/>
              <w:left w:val="single" w:sz="8" w:space="0" w:color="000000"/>
              <w:bottom w:val="single" w:sz="8" w:space="0" w:color="000000"/>
              <w:right w:val="single" w:sz="8" w:space="0" w:color="000000"/>
            </w:tcBorders>
            <w:shd w:val="clear" w:color="auto" w:fill="auto"/>
          </w:tcPr>
          <w:p w14:paraId="4DEB8D63" w14:textId="77777777" w:rsidR="004939F2" w:rsidRPr="00E66A45" w:rsidRDefault="004939F2" w:rsidP="004939F2">
            <w:pPr>
              <w:spacing w:after="120"/>
              <w:jc w:val="center"/>
              <w:rPr>
                <w:lang w:eastAsia="en-GB"/>
              </w:rPr>
            </w:pPr>
            <w:r>
              <w:rPr>
                <w:lang w:eastAsia="en-GB"/>
              </w:rPr>
              <w:t>None</w:t>
            </w:r>
          </w:p>
        </w:tc>
      </w:tr>
    </w:tbl>
    <w:p w14:paraId="5B7233A6" w14:textId="77777777" w:rsidR="00F36012" w:rsidRDefault="00F36012" w:rsidP="00F27C35"/>
    <w:p w14:paraId="0AED3971" w14:textId="77777777" w:rsidR="0042601D" w:rsidRDefault="0042601D" w:rsidP="00F27C35"/>
    <w:p w14:paraId="3CD9016A" w14:textId="77777777" w:rsidR="008B150B" w:rsidRPr="00A4166B" w:rsidRDefault="00E3676B" w:rsidP="00BD592E">
      <w:pPr>
        <w:pStyle w:val="Heading1"/>
      </w:pPr>
      <w:r w:rsidRPr="00A4166B">
        <w:t>Introduction</w:t>
      </w:r>
      <w:r w:rsidR="00D06B67" w:rsidRPr="00A4166B">
        <w:t xml:space="preserve"> </w:t>
      </w:r>
    </w:p>
    <w:p w14:paraId="6C18050A" w14:textId="66347E70" w:rsidR="00994B9C" w:rsidRPr="00A4166B" w:rsidRDefault="00994B9C" w:rsidP="00C44881">
      <w:pPr>
        <w:pStyle w:val="ListParagraph"/>
        <w:jc w:val="both"/>
      </w:pPr>
      <w:r w:rsidRPr="00A4166B">
        <w:t xml:space="preserve">This report provides an update on Scrutiny activity during the period from </w:t>
      </w:r>
      <w:r w:rsidR="00B22107" w:rsidRPr="00A4166B">
        <w:t xml:space="preserve">01 </w:t>
      </w:r>
      <w:r w:rsidR="00941A12" w:rsidRPr="00A4166B">
        <w:t>July</w:t>
      </w:r>
      <w:r w:rsidR="00794AB4" w:rsidRPr="00A4166B">
        <w:t xml:space="preserve"> 2024</w:t>
      </w:r>
      <w:r w:rsidR="00A72D5E" w:rsidRPr="00A4166B">
        <w:t xml:space="preserve"> </w:t>
      </w:r>
      <w:r w:rsidR="00B22107" w:rsidRPr="00A4166B">
        <w:t xml:space="preserve">to </w:t>
      </w:r>
      <w:r w:rsidR="000C7AB7" w:rsidRPr="00A4166B">
        <w:t xml:space="preserve">30 </w:t>
      </w:r>
      <w:r w:rsidR="00941A12" w:rsidRPr="00A4166B">
        <w:t>September</w:t>
      </w:r>
      <w:r w:rsidR="00794AB4" w:rsidRPr="00A4166B">
        <w:t xml:space="preserve"> 2024</w:t>
      </w:r>
      <w:r w:rsidRPr="00A4166B">
        <w:t>.</w:t>
      </w:r>
    </w:p>
    <w:p w14:paraId="2BD91C1F" w14:textId="256A52FF" w:rsidR="00C44881" w:rsidRPr="00A4166B" w:rsidRDefault="00B22107" w:rsidP="00941A12">
      <w:pPr>
        <w:pStyle w:val="ListParagraph"/>
        <w:jc w:val="both"/>
      </w:pPr>
      <w:r w:rsidRPr="00A4166B">
        <w:t>D</w:t>
      </w:r>
      <w:r w:rsidR="00D51BBF" w:rsidRPr="00A4166B">
        <w:t>uring this reporting period</w:t>
      </w:r>
      <w:r w:rsidRPr="00A4166B">
        <w:t xml:space="preserve"> the Committee met </w:t>
      </w:r>
      <w:r w:rsidR="00941A12" w:rsidRPr="00A4166B">
        <w:t>twice</w:t>
      </w:r>
      <w:r w:rsidR="00056225" w:rsidRPr="00A4166B">
        <w:t xml:space="preserve">, on </w:t>
      </w:r>
      <w:r w:rsidR="00941A12" w:rsidRPr="00A4166B">
        <w:t>02 July</w:t>
      </w:r>
      <w:r w:rsidR="000C7AB7" w:rsidRPr="00A4166B">
        <w:t xml:space="preserve"> 2024</w:t>
      </w:r>
      <w:r w:rsidR="00941A12" w:rsidRPr="00A4166B">
        <w:t xml:space="preserve"> (</w:t>
      </w:r>
      <w:r w:rsidR="00941A12" w:rsidRPr="00A4166B">
        <w:rPr>
          <w:i/>
          <w:iCs/>
        </w:rPr>
        <w:t>informal remote meeting</w:t>
      </w:r>
      <w:r w:rsidR="00941A12" w:rsidRPr="00A4166B">
        <w:t>)</w:t>
      </w:r>
      <w:r w:rsidR="000C7AB7" w:rsidRPr="00A4166B">
        <w:t xml:space="preserve"> and </w:t>
      </w:r>
      <w:r w:rsidR="00941A12" w:rsidRPr="00A4166B">
        <w:t>03 September</w:t>
      </w:r>
      <w:r w:rsidR="000C7AB7" w:rsidRPr="00A4166B">
        <w:t xml:space="preserve"> 2024</w:t>
      </w:r>
      <w:r w:rsidR="00D51BBF" w:rsidRPr="00A4166B">
        <w:t xml:space="preserve">. In addition, there have been </w:t>
      </w:r>
      <w:r w:rsidR="00941A12" w:rsidRPr="00A4166B">
        <w:t>five</w:t>
      </w:r>
      <w:r w:rsidR="00D51BBF" w:rsidRPr="00A4166B">
        <w:t xml:space="preserve"> Panel meetings (</w:t>
      </w:r>
      <w:r w:rsidR="000C7AB7" w:rsidRPr="00A4166B">
        <w:t xml:space="preserve">Housing and Homelessness Panel – </w:t>
      </w:r>
      <w:r w:rsidR="00941A12" w:rsidRPr="00A4166B">
        <w:t>03 July</w:t>
      </w:r>
      <w:r w:rsidR="000C7AB7" w:rsidRPr="00A4166B">
        <w:t xml:space="preserve"> 2024; </w:t>
      </w:r>
      <w:r w:rsidR="00941A12" w:rsidRPr="00A4166B">
        <w:t>Finance and Performance Panel – 18 July 2024, 27 August 2024 (</w:t>
      </w:r>
      <w:r w:rsidR="00941A12" w:rsidRPr="00A4166B">
        <w:rPr>
          <w:i/>
          <w:iCs/>
        </w:rPr>
        <w:t>extraordinary meeting</w:t>
      </w:r>
      <w:r w:rsidR="00941A12" w:rsidRPr="00A4166B">
        <w:t xml:space="preserve">) and 04 September 2024; Climate and Environment Panel – 10 September 2024). </w:t>
      </w:r>
      <w:r w:rsidR="00C912F9" w:rsidRPr="00A4166B">
        <w:t>A summary of e</w:t>
      </w:r>
      <w:r w:rsidR="00EB5FC7" w:rsidRPr="00A4166B">
        <w:t>ach meeting is set out below</w:t>
      </w:r>
      <w:r w:rsidR="00010E12" w:rsidRPr="00A4166B">
        <w:t>.</w:t>
      </w:r>
      <w:r w:rsidR="00EB5FC7" w:rsidRPr="00A4166B">
        <w:t xml:space="preserve"> </w:t>
      </w:r>
    </w:p>
    <w:p w14:paraId="24F88FA7" w14:textId="2424B5A0" w:rsidR="007402A0" w:rsidRPr="00A4166B" w:rsidRDefault="007402A0" w:rsidP="007402A0">
      <w:pPr>
        <w:jc w:val="both"/>
      </w:pPr>
    </w:p>
    <w:p w14:paraId="6EABC4D2" w14:textId="596A518F" w:rsidR="007402A0" w:rsidRPr="00A4166B" w:rsidRDefault="00D51BBF" w:rsidP="007402A0">
      <w:pPr>
        <w:jc w:val="both"/>
        <w:rPr>
          <w:b/>
          <w:i/>
          <w:iCs/>
        </w:rPr>
      </w:pPr>
      <w:r w:rsidRPr="00A4166B">
        <w:rPr>
          <w:b/>
        </w:rPr>
        <w:t xml:space="preserve">Scrutiny Committee: </w:t>
      </w:r>
      <w:r w:rsidR="00941A12" w:rsidRPr="00A4166B">
        <w:rPr>
          <w:b/>
        </w:rPr>
        <w:t>02 July</w:t>
      </w:r>
      <w:r w:rsidR="00794AB4" w:rsidRPr="00A4166B">
        <w:rPr>
          <w:b/>
        </w:rPr>
        <w:t xml:space="preserve"> 2024</w:t>
      </w:r>
      <w:r w:rsidR="00941A12" w:rsidRPr="00A4166B">
        <w:rPr>
          <w:b/>
        </w:rPr>
        <w:t xml:space="preserve"> </w:t>
      </w:r>
      <w:r w:rsidR="00941A12" w:rsidRPr="00A4166B">
        <w:rPr>
          <w:b/>
          <w:i/>
          <w:iCs/>
        </w:rPr>
        <w:t>(informal remote meeting)</w:t>
      </w:r>
    </w:p>
    <w:p w14:paraId="4EAA8D3F" w14:textId="77777777" w:rsidR="00C912F9" w:rsidRPr="00A4166B" w:rsidRDefault="00C912F9" w:rsidP="007402A0">
      <w:pPr>
        <w:jc w:val="both"/>
        <w:rPr>
          <w:b/>
        </w:rPr>
      </w:pPr>
    </w:p>
    <w:p w14:paraId="7FF98585" w14:textId="78848606" w:rsidR="00B22107" w:rsidRPr="00A4166B" w:rsidRDefault="00D51BBF" w:rsidP="00DD78B0">
      <w:pPr>
        <w:pStyle w:val="ListParagraph"/>
        <w:jc w:val="both"/>
      </w:pPr>
      <w:r w:rsidRPr="00A4166B">
        <w:t xml:space="preserve">At its </w:t>
      </w:r>
      <w:r w:rsidR="00941A12" w:rsidRPr="00A4166B">
        <w:t xml:space="preserve">informal remote </w:t>
      </w:r>
      <w:r w:rsidRPr="00A4166B">
        <w:t xml:space="preserve">meeting on </w:t>
      </w:r>
      <w:r w:rsidR="00941A12" w:rsidRPr="00A4166B">
        <w:t>02 July</w:t>
      </w:r>
      <w:r w:rsidR="009F45CA" w:rsidRPr="00A4166B">
        <w:t xml:space="preserve"> 2024</w:t>
      </w:r>
      <w:r w:rsidR="00B22107" w:rsidRPr="00A4166B">
        <w:t xml:space="preserve">, the Committee </w:t>
      </w:r>
      <w:r w:rsidR="00C912F9" w:rsidRPr="00A4166B">
        <w:t xml:space="preserve">considered </w:t>
      </w:r>
      <w:r w:rsidR="00941A12" w:rsidRPr="00A4166B">
        <w:t>four</w:t>
      </w:r>
      <w:r w:rsidR="00AB1F35" w:rsidRPr="00A4166B">
        <w:t xml:space="preserve"> substantive </w:t>
      </w:r>
      <w:r w:rsidR="00941A12" w:rsidRPr="00A4166B">
        <w:t>items</w:t>
      </w:r>
      <w:r w:rsidR="00AB1F35" w:rsidRPr="00A4166B">
        <w:t>:</w:t>
      </w:r>
    </w:p>
    <w:p w14:paraId="4DC66F1B" w14:textId="72D28B7D" w:rsidR="009F45CA" w:rsidRPr="00A4166B" w:rsidRDefault="00941A12" w:rsidP="009F45CA">
      <w:pPr>
        <w:pStyle w:val="ListParagraph"/>
        <w:numPr>
          <w:ilvl w:val="0"/>
          <w:numId w:val="15"/>
        </w:numPr>
      </w:pPr>
      <w:r w:rsidRPr="00A4166B">
        <w:lastRenderedPageBreak/>
        <w:t>Citizen Experience Strategy Progress Report</w:t>
      </w:r>
      <w:r w:rsidR="009F45CA" w:rsidRPr="00A4166B">
        <w:t xml:space="preserve"> (</w:t>
      </w:r>
      <w:r w:rsidR="009F45CA" w:rsidRPr="00A4166B">
        <w:rPr>
          <w:i/>
        </w:rPr>
        <w:t>Cabinet report</w:t>
      </w:r>
      <w:r w:rsidR="009F45CA" w:rsidRPr="00A4166B">
        <w:t>)</w:t>
      </w:r>
    </w:p>
    <w:p w14:paraId="50A145AF" w14:textId="31B59088" w:rsidR="009F45CA" w:rsidRPr="00A4166B" w:rsidRDefault="00941A12" w:rsidP="009F45CA">
      <w:pPr>
        <w:pStyle w:val="ListParagraph"/>
        <w:numPr>
          <w:ilvl w:val="0"/>
          <w:numId w:val="15"/>
        </w:numPr>
      </w:pPr>
      <w:r w:rsidRPr="00A4166B">
        <w:t>Oxford City Council Corporate Strategy 2024-28</w:t>
      </w:r>
      <w:r w:rsidR="009F45CA" w:rsidRPr="00A4166B">
        <w:t xml:space="preserve"> (</w:t>
      </w:r>
      <w:r w:rsidR="009F45CA" w:rsidRPr="00A4166B">
        <w:rPr>
          <w:i/>
        </w:rPr>
        <w:t>Cabinet report</w:t>
      </w:r>
      <w:r w:rsidR="009F45CA" w:rsidRPr="00A4166B">
        <w:t>)</w:t>
      </w:r>
    </w:p>
    <w:p w14:paraId="55FB3379" w14:textId="1C4283B4" w:rsidR="009F45CA" w:rsidRPr="00A4166B" w:rsidRDefault="00941A12" w:rsidP="009F45CA">
      <w:pPr>
        <w:pStyle w:val="ListParagraph"/>
        <w:numPr>
          <w:ilvl w:val="0"/>
          <w:numId w:val="15"/>
        </w:numPr>
      </w:pPr>
      <w:r w:rsidRPr="00A4166B">
        <w:t>Update of Byelaws for Parks and Open Spaces</w:t>
      </w:r>
      <w:r w:rsidR="009F45CA" w:rsidRPr="00A4166B">
        <w:t xml:space="preserve"> (</w:t>
      </w:r>
      <w:r w:rsidRPr="00A4166B">
        <w:rPr>
          <w:i/>
          <w:iCs/>
        </w:rPr>
        <w:t>Council</w:t>
      </w:r>
      <w:r w:rsidR="009F45CA" w:rsidRPr="00A4166B">
        <w:rPr>
          <w:i/>
          <w:iCs/>
        </w:rPr>
        <w:t xml:space="preserve"> report</w:t>
      </w:r>
      <w:r w:rsidR="009F45CA" w:rsidRPr="00A4166B">
        <w:t>)</w:t>
      </w:r>
    </w:p>
    <w:p w14:paraId="6434CBA3" w14:textId="566AFF8D" w:rsidR="00941A12" w:rsidRPr="00A4166B" w:rsidRDefault="00941A12" w:rsidP="009F45CA">
      <w:pPr>
        <w:pStyle w:val="ListParagraph"/>
        <w:numPr>
          <w:ilvl w:val="0"/>
          <w:numId w:val="15"/>
        </w:numPr>
      </w:pPr>
      <w:r w:rsidRPr="00A4166B">
        <w:t xml:space="preserve">Leisure Investment Programme </w:t>
      </w:r>
      <w:r w:rsidRPr="00A4166B">
        <w:t>(</w:t>
      </w:r>
      <w:r w:rsidRPr="00A4166B">
        <w:rPr>
          <w:i/>
        </w:rPr>
        <w:t>Cabinet report</w:t>
      </w:r>
      <w:r w:rsidRPr="00A4166B">
        <w:t>)</w:t>
      </w:r>
    </w:p>
    <w:p w14:paraId="060A27A0" w14:textId="4BEBE955" w:rsidR="00507797" w:rsidRPr="00A4166B" w:rsidRDefault="004447A6" w:rsidP="00475738">
      <w:pPr>
        <w:pStyle w:val="ListParagraph"/>
        <w:jc w:val="both"/>
      </w:pPr>
      <w:r w:rsidRPr="00A4166B">
        <w:t xml:space="preserve">The </w:t>
      </w:r>
      <w:r w:rsidR="00941A12" w:rsidRPr="00A4166B">
        <w:t>Citizen Experience Strategy Progress Report</w:t>
      </w:r>
      <w:r w:rsidR="00507797" w:rsidRPr="00A4166B">
        <w:t xml:space="preserve"> </w:t>
      </w:r>
      <w:r w:rsidR="00941A12" w:rsidRPr="00A4166B">
        <w:t>provided a comprehensive update on the delivery of the Citizen Experience (CEX) Strategy.</w:t>
      </w:r>
      <w:r w:rsidR="00941A12" w:rsidRPr="00A4166B">
        <w:t xml:space="preserve"> </w:t>
      </w:r>
      <w:r w:rsidR="000F2D3E" w:rsidRPr="00A4166B">
        <w:t xml:space="preserve">The Committee asked a range of questions, including questions relating to </w:t>
      </w:r>
      <w:r w:rsidR="00941A12" w:rsidRPr="00A4166B">
        <w:t xml:space="preserve">digital accessibility and digital exclusion; the Council’s face-to-face customer services in the Westgate Library; </w:t>
      </w:r>
      <w:r w:rsidR="00B76B1D" w:rsidRPr="00A4166B">
        <w:t>coordination with partners (e.g. Citizens Advice Oxford) on service delivery and signposting; community outreach work; and the rollout of the Council’s online payment system. There were no recommendations.</w:t>
      </w:r>
    </w:p>
    <w:p w14:paraId="640A1BF2" w14:textId="65B304D8" w:rsidR="00086AA7" w:rsidRPr="00A4166B" w:rsidRDefault="00B92769" w:rsidP="00E142E4">
      <w:pPr>
        <w:pStyle w:val="ListParagraph"/>
        <w:spacing w:before="240"/>
        <w:jc w:val="both"/>
      </w:pPr>
      <w:r w:rsidRPr="00A4166B">
        <w:t xml:space="preserve">The </w:t>
      </w:r>
      <w:r w:rsidR="00B76B1D" w:rsidRPr="00A4166B">
        <w:t>Oxford City Council Corporate Strategy 2024-28 report sought a Cabinet recommendation to Council for the adoption of the Corporate Strategy 2024-28</w:t>
      </w:r>
      <w:r w:rsidR="000F2D3E" w:rsidRPr="00A4166B">
        <w:t>. The Committee asked a range of questions, including questions relating to</w:t>
      </w:r>
      <w:r w:rsidR="00B76B1D" w:rsidRPr="00A4166B">
        <w:t xml:space="preserve"> </w:t>
      </w:r>
      <w:r w:rsidR="00B76B1D" w:rsidRPr="00A4166B">
        <w:t>the fact that a number of key and statutory Council services did not appear to be mentioned in the draft strategy – and whether this was an unintentional omission; which buildings fell into the category of ‘other buildings’ in relation to the Council’s Zero Carbon Oxford priority: ‘decarbonising homes and other buildings’; whether consideration had been given to ‘Child Friendly City’ status in Oxford as part of the strategy development process; the degree to which the Council’s zero carbon ambitions were tempered by financial realities; and whether consideration had been given to explicitly referencing ‘Vision Zero’ (the countywide strategy aimed at eliminating deaths and serious injuries on Oxfordshire’s roads by 2050) within the strategy.</w:t>
      </w:r>
      <w:r w:rsidR="00B76B1D" w:rsidRPr="00A4166B">
        <w:t xml:space="preserve"> Three</w:t>
      </w:r>
      <w:r w:rsidR="0018030C" w:rsidRPr="00A4166B">
        <w:t xml:space="preserve"> recommendations were agreed.</w:t>
      </w:r>
    </w:p>
    <w:p w14:paraId="5500BEEE" w14:textId="77777777" w:rsidR="00B76B1D" w:rsidRPr="00A4166B" w:rsidRDefault="00351CD7" w:rsidP="00507797">
      <w:pPr>
        <w:pStyle w:val="ListParagraph"/>
        <w:jc w:val="both"/>
      </w:pPr>
      <w:r w:rsidRPr="00A4166B">
        <w:t xml:space="preserve">The </w:t>
      </w:r>
      <w:r w:rsidR="00B76B1D" w:rsidRPr="00A4166B">
        <w:t>Update of Byelaws for Parks and Open Spaces report sought Council approval of the proposed byelaws for submission to the Secretary of State</w:t>
      </w:r>
      <w:r w:rsidR="006A6CC5" w:rsidRPr="00A4166B">
        <w:t xml:space="preserve">. The Committee asked a range of questions, including questions relating to </w:t>
      </w:r>
      <w:r w:rsidR="00B76B1D" w:rsidRPr="00A4166B">
        <w:t>the definition of a bicycle used in the byelaws; whether any conversations had taken place with the universities to influence them to change their policies in parks; concerns over the Council encouraging tree climbing, particularly during nesting season and in relation to public liability; whether there was a trial period for the byelaws once implemented, where revisions could be made if there were any negative repercussions; cycling; and whether the byelaws could include a requirement that boats at Council-owned river moorings must have the equivalent of a vehicle MOT</w:t>
      </w:r>
      <w:r w:rsidR="006A6CC5" w:rsidRPr="00A4166B">
        <w:t xml:space="preserve">. </w:t>
      </w:r>
      <w:r w:rsidR="00B76B1D" w:rsidRPr="00A4166B">
        <w:t>Two recommendations were agreed.</w:t>
      </w:r>
    </w:p>
    <w:p w14:paraId="3762F2DA" w14:textId="31F15F5F" w:rsidR="00B76B1D" w:rsidRPr="00A4166B" w:rsidRDefault="00B76B1D" w:rsidP="00B76B1D">
      <w:pPr>
        <w:pStyle w:val="ListParagraph"/>
        <w:jc w:val="both"/>
      </w:pPr>
      <w:r w:rsidRPr="00A4166B">
        <w:t xml:space="preserve">The Leisure Investment Programme Report sought </w:t>
      </w:r>
      <w:r w:rsidRPr="00A4166B">
        <w:t xml:space="preserve">project approval </w:t>
      </w:r>
      <w:r w:rsidRPr="00A4166B">
        <w:t xml:space="preserve">from Cabinet </w:t>
      </w:r>
      <w:r w:rsidRPr="00A4166B">
        <w:t>for the Leisure Management Programme</w:t>
      </w:r>
      <w:r w:rsidRPr="00A4166B">
        <w:t xml:space="preserve"> and a Cabinet</w:t>
      </w:r>
      <w:r w:rsidRPr="00A4166B">
        <w:t xml:space="preserve"> recommend</w:t>
      </w:r>
      <w:r w:rsidRPr="00A4166B">
        <w:t>ation</w:t>
      </w:r>
      <w:r w:rsidRPr="00A4166B">
        <w:t xml:space="preserve"> to Council</w:t>
      </w:r>
      <w:r w:rsidRPr="00A4166B">
        <w:t xml:space="preserve"> for</w:t>
      </w:r>
      <w:r w:rsidRPr="00A4166B">
        <w:t xml:space="preserve"> the approval of an additional capital budget of £1.04m, above the £2m already agreed in the capital programme, necessary to deliver the Leisure Investment Programme</w:t>
      </w:r>
      <w:r w:rsidRPr="00A4166B">
        <w:t xml:space="preserve">. The Committee </w:t>
      </w:r>
      <w:r w:rsidRPr="00A4166B">
        <w:t>asked a range of questions, including questions relating to current usage of the sports hall at the Leys Leisure Centre in the evenings; maintaining adequate access to a variety of leisure facilities; communications with and feedback from residents/user groups on the proposals; provision for emerging sports (e.g. padel and pickleball); accessibility and inclusivity in relation to the athletics club; the proposed new state of the art inflatables included in the plans; and interdependencies between the Leisure Investment Programme and Leys Youth Hub.</w:t>
      </w:r>
      <w:r w:rsidRPr="00A4166B">
        <w:t xml:space="preserve"> Two recommendations were agreed.</w:t>
      </w:r>
    </w:p>
    <w:p w14:paraId="7AF81F2C" w14:textId="310156CC" w:rsidR="00AB1F35" w:rsidRPr="00A4166B" w:rsidRDefault="00AB1F35" w:rsidP="00AB1F35">
      <w:pPr>
        <w:rPr>
          <w:b/>
        </w:rPr>
      </w:pPr>
      <w:r w:rsidRPr="00A4166B">
        <w:rPr>
          <w:b/>
        </w:rPr>
        <w:lastRenderedPageBreak/>
        <w:t xml:space="preserve">Cabinet Responses to Recommendations: </w:t>
      </w:r>
      <w:r w:rsidR="00B76B1D" w:rsidRPr="00A4166B">
        <w:rPr>
          <w:b/>
        </w:rPr>
        <w:t>July</w:t>
      </w:r>
      <w:r w:rsidRPr="00A4166B">
        <w:rPr>
          <w:b/>
        </w:rPr>
        <w:t xml:space="preserve"> 202</w:t>
      </w:r>
      <w:r w:rsidR="00794AB4" w:rsidRPr="00A4166B">
        <w:rPr>
          <w:b/>
        </w:rPr>
        <w:t>4</w:t>
      </w:r>
    </w:p>
    <w:p w14:paraId="36DA117E" w14:textId="0ABB92FE" w:rsidR="00DD78B0" w:rsidRPr="00A4166B" w:rsidRDefault="00DD78B0" w:rsidP="004939F2">
      <w:pPr>
        <w:pStyle w:val="ListParagraph"/>
        <w:spacing w:before="240"/>
        <w:jc w:val="both"/>
      </w:pPr>
      <w:r w:rsidRPr="00A4166B">
        <w:t xml:space="preserve">The following reports were submitted to Cabinet in </w:t>
      </w:r>
      <w:r w:rsidR="003C4A0E" w:rsidRPr="00A4166B">
        <w:t>July</w:t>
      </w:r>
      <w:r w:rsidR="00010E12" w:rsidRPr="00A4166B">
        <w:t xml:space="preserve"> </w:t>
      </w:r>
      <w:r w:rsidR="00AB1F35" w:rsidRPr="00A4166B">
        <w:t>202</w:t>
      </w:r>
      <w:r w:rsidR="00794AB4" w:rsidRPr="00A4166B">
        <w:t>4</w:t>
      </w:r>
      <w:r w:rsidRPr="00A4166B">
        <w:t>:</w:t>
      </w:r>
    </w:p>
    <w:p w14:paraId="59E16456" w14:textId="77777777" w:rsidR="003C4A0E" w:rsidRPr="00A4166B" w:rsidRDefault="003C4A0E" w:rsidP="003C4A0E">
      <w:pPr>
        <w:pStyle w:val="ListParagraph"/>
        <w:numPr>
          <w:ilvl w:val="0"/>
          <w:numId w:val="21"/>
        </w:numPr>
      </w:pPr>
      <w:r w:rsidRPr="00A4166B">
        <w:t>Oxford City Council Corporate Strategy 2024-28 (</w:t>
      </w:r>
      <w:r w:rsidRPr="00A4166B">
        <w:rPr>
          <w:i/>
        </w:rPr>
        <w:t>Cabinet report</w:t>
      </w:r>
      <w:r w:rsidRPr="00A4166B">
        <w:t>)</w:t>
      </w:r>
    </w:p>
    <w:p w14:paraId="1D182A13" w14:textId="77777777" w:rsidR="003C4A0E" w:rsidRPr="00A4166B" w:rsidRDefault="003C4A0E" w:rsidP="003C4A0E">
      <w:pPr>
        <w:pStyle w:val="ListParagraph"/>
        <w:numPr>
          <w:ilvl w:val="0"/>
          <w:numId w:val="21"/>
        </w:numPr>
      </w:pPr>
      <w:r w:rsidRPr="00A4166B">
        <w:t>Leisure Investment Programme (</w:t>
      </w:r>
      <w:r w:rsidRPr="00A4166B">
        <w:rPr>
          <w:i/>
        </w:rPr>
        <w:t>Cabinet report</w:t>
      </w:r>
      <w:r w:rsidRPr="00A4166B">
        <w:t>)</w:t>
      </w:r>
    </w:p>
    <w:p w14:paraId="447885EB" w14:textId="77777777" w:rsidR="003C4A0E" w:rsidRPr="00A4166B" w:rsidRDefault="003C4A0E" w:rsidP="003C4A0E">
      <w:pPr>
        <w:pStyle w:val="ListParagraph"/>
        <w:numPr>
          <w:ilvl w:val="0"/>
          <w:numId w:val="21"/>
        </w:numPr>
      </w:pPr>
      <w:r w:rsidRPr="00A4166B">
        <w:t>Update of Byelaws for Parks and Open Spaces (</w:t>
      </w:r>
      <w:r w:rsidRPr="00A4166B">
        <w:rPr>
          <w:i/>
          <w:iCs/>
        </w:rPr>
        <w:t>Council report</w:t>
      </w:r>
      <w:r w:rsidRPr="00A4166B">
        <w:t>)</w:t>
      </w:r>
    </w:p>
    <w:p w14:paraId="4CFEE197" w14:textId="3A27B9F2" w:rsidR="004939F2" w:rsidRPr="00A4166B" w:rsidRDefault="00EF41A4" w:rsidP="004939F2">
      <w:pPr>
        <w:pStyle w:val="ListParagraph"/>
        <w:jc w:val="both"/>
      </w:pPr>
      <w:r w:rsidRPr="00A4166B">
        <w:t xml:space="preserve">Of the </w:t>
      </w:r>
      <w:r w:rsidR="003C4A0E" w:rsidRPr="00A4166B">
        <w:t>seven</w:t>
      </w:r>
      <w:r w:rsidRPr="00A4166B">
        <w:t xml:space="preserve"> recommendations submitted across the </w:t>
      </w:r>
      <w:r w:rsidR="003C4A0E" w:rsidRPr="00A4166B">
        <w:t>three</w:t>
      </w:r>
      <w:r w:rsidRPr="00A4166B">
        <w:t xml:space="preserve"> reports, </w:t>
      </w:r>
      <w:r w:rsidR="006A6CC5" w:rsidRPr="00A4166B">
        <w:t>three</w:t>
      </w:r>
      <w:r w:rsidRPr="00A4166B">
        <w:t xml:space="preserve"> were agreed</w:t>
      </w:r>
      <w:r w:rsidR="003C4A0E" w:rsidRPr="00A4166B">
        <w:t xml:space="preserve"> and one was agreed in part</w:t>
      </w:r>
      <w:r w:rsidR="006A6CC5" w:rsidRPr="00A4166B">
        <w:t>.</w:t>
      </w:r>
      <w:r w:rsidR="00794AB4" w:rsidRPr="00A4166B">
        <w:t xml:space="preserve"> The relevant Cabinet Member did not indicate </w:t>
      </w:r>
      <w:proofErr w:type="gramStart"/>
      <w:r w:rsidR="00794AB4" w:rsidRPr="00A4166B">
        <w:t>whether or not</w:t>
      </w:r>
      <w:proofErr w:type="gramEnd"/>
      <w:r w:rsidR="00794AB4" w:rsidRPr="00A4166B">
        <w:t xml:space="preserve"> recommendations were agreed in relation to </w:t>
      </w:r>
      <w:r w:rsidR="003C4A0E" w:rsidRPr="00A4166B">
        <w:t>three</w:t>
      </w:r>
      <w:r w:rsidR="00794AB4" w:rsidRPr="00A4166B">
        <w:t xml:space="preserve"> recommendations</w:t>
      </w:r>
      <w:r w:rsidR="00C05C55" w:rsidRPr="00A4166B">
        <w:t xml:space="preserve"> – providing a written commentary only</w:t>
      </w:r>
      <w:r w:rsidR="00794AB4" w:rsidRPr="00A4166B">
        <w:t>.</w:t>
      </w:r>
    </w:p>
    <w:p w14:paraId="1C9079FA" w14:textId="06CF976F" w:rsidR="00D2575F" w:rsidRPr="00A4166B" w:rsidRDefault="00D2575F" w:rsidP="003C4A0E">
      <w:pPr>
        <w:spacing w:before="240"/>
        <w:jc w:val="both"/>
        <w:rPr>
          <w:b/>
        </w:rPr>
      </w:pPr>
      <w:r w:rsidRPr="00A4166B">
        <w:rPr>
          <w:b/>
        </w:rPr>
        <w:t>Scrutiny Committee: 06 August 2024</w:t>
      </w:r>
    </w:p>
    <w:p w14:paraId="26C100A6" w14:textId="77777777" w:rsidR="00D2575F" w:rsidRPr="00A4166B" w:rsidRDefault="00D2575F" w:rsidP="00D2575F">
      <w:pPr>
        <w:jc w:val="both"/>
        <w:rPr>
          <w:b/>
        </w:rPr>
      </w:pPr>
    </w:p>
    <w:p w14:paraId="113DD8ED" w14:textId="0436053F" w:rsidR="00D2575F" w:rsidRPr="00A4166B" w:rsidRDefault="00D2575F" w:rsidP="00D2575F">
      <w:pPr>
        <w:pStyle w:val="ListParagraph"/>
      </w:pPr>
      <w:r w:rsidRPr="00A4166B">
        <w:t>The Scrutiny Committee meeting scheduled for 06 August 2024 was cancelled due to no business.</w:t>
      </w:r>
    </w:p>
    <w:p w14:paraId="6921427B" w14:textId="337B4EF2" w:rsidR="00EB5FC7" w:rsidRPr="00A4166B" w:rsidRDefault="00EB5FC7" w:rsidP="003C4A0E">
      <w:pPr>
        <w:spacing w:before="240"/>
        <w:jc w:val="both"/>
        <w:rPr>
          <w:b/>
          <w:i/>
          <w:iCs/>
        </w:rPr>
      </w:pPr>
      <w:r w:rsidRPr="00A4166B">
        <w:rPr>
          <w:b/>
        </w:rPr>
        <w:t>Scrutiny Commi</w:t>
      </w:r>
      <w:r w:rsidR="00B92769" w:rsidRPr="00A4166B">
        <w:rPr>
          <w:b/>
        </w:rPr>
        <w:t xml:space="preserve">ttee: </w:t>
      </w:r>
      <w:r w:rsidR="003C4A0E" w:rsidRPr="00A4166B">
        <w:rPr>
          <w:b/>
        </w:rPr>
        <w:t>03 September 2024</w:t>
      </w:r>
      <w:r w:rsidR="006A6CC5" w:rsidRPr="00A4166B">
        <w:rPr>
          <w:b/>
        </w:rPr>
        <w:t xml:space="preserve"> </w:t>
      </w:r>
    </w:p>
    <w:p w14:paraId="3C0066B7" w14:textId="77777777" w:rsidR="00EB5FC7" w:rsidRPr="00A4166B" w:rsidRDefault="00EB5FC7" w:rsidP="00EB5FC7">
      <w:pPr>
        <w:jc w:val="both"/>
        <w:rPr>
          <w:b/>
        </w:rPr>
      </w:pPr>
    </w:p>
    <w:p w14:paraId="767141E2" w14:textId="056E00C3" w:rsidR="004939F2" w:rsidRPr="00A4166B" w:rsidRDefault="00B92769" w:rsidP="00801D04">
      <w:pPr>
        <w:pStyle w:val="ListParagraph"/>
        <w:jc w:val="both"/>
      </w:pPr>
      <w:r w:rsidRPr="00A4166B">
        <w:t xml:space="preserve">At its meeting on </w:t>
      </w:r>
      <w:r w:rsidR="003C4A0E" w:rsidRPr="00A4166B">
        <w:t>03 September</w:t>
      </w:r>
      <w:r w:rsidR="009F45CA" w:rsidRPr="00A4166B">
        <w:t xml:space="preserve"> 2024</w:t>
      </w:r>
      <w:r w:rsidRPr="00A4166B">
        <w:t>, the Committee consider</w:t>
      </w:r>
      <w:r w:rsidR="00351CD7" w:rsidRPr="00A4166B">
        <w:t>ed</w:t>
      </w:r>
      <w:r w:rsidRPr="00A4166B">
        <w:t xml:space="preserve"> </w:t>
      </w:r>
      <w:r w:rsidR="006A6CC5" w:rsidRPr="00A4166B">
        <w:t>three</w:t>
      </w:r>
      <w:r w:rsidRPr="00A4166B">
        <w:t xml:space="preserve"> substantive </w:t>
      </w:r>
      <w:r w:rsidR="003C4A0E" w:rsidRPr="00A4166B">
        <w:t>items</w:t>
      </w:r>
      <w:r w:rsidRPr="00A4166B">
        <w:t>:</w:t>
      </w:r>
    </w:p>
    <w:p w14:paraId="089DED40" w14:textId="16B41431" w:rsidR="00351CD7" w:rsidRPr="00A4166B" w:rsidRDefault="003C4A0E" w:rsidP="0011544E">
      <w:pPr>
        <w:pStyle w:val="ListParagraph"/>
        <w:numPr>
          <w:ilvl w:val="0"/>
          <w:numId w:val="4"/>
        </w:numPr>
        <w:jc w:val="both"/>
      </w:pPr>
      <w:r w:rsidRPr="00A4166B">
        <w:t>Oxfordshire Inclusive Economy Partnership (OIEP) Charter/Pledges – Annual Update</w:t>
      </w:r>
    </w:p>
    <w:p w14:paraId="513E39E2" w14:textId="6AF6C087" w:rsidR="00A35533" w:rsidRPr="00A4166B" w:rsidRDefault="003C4A0E" w:rsidP="00A35533">
      <w:pPr>
        <w:pStyle w:val="ListParagraph"/>
        <w:numPr>
          <w:ilvl w:val="0"/>
          <w:numId w:val="4"/>
        </w:numPr>
        <w:jc w:val="both"/>
      </w:pPr>
      <w:r w:rsidRPr="00A4166B">
        <w:t>Safeguarding Annual Report 2023-24</w:t>
      </w:r>
    </w:p>
    <w:p w14:paraId="723D16A2" w14:textId="02D5FA8D" w:rsidR="006A6CC5" w:rsidRPr="00A4166B" w:rsidRDefault="003C4A0E" w:rsidP="00A35533">
      <w:pPr>
        <w:pStyle w:val="ListParagraph"/>
        <w:numPr>
          <w:ilvl w:val="0"/>
          <w:numId w:val="4"/>
        </w:numPr>
        <w:jc w:val="both"/>
      </w:pPr>
      <w:r w:rsidRPr="00A4166B">
        <w:t xml:space="preserve">Anti-Social Behaviour </w:t>
      </w:r>
    </w:p>
    <w:p w14:paraId="451D3F25" w14:textId="77777777" w:rsidR="00EF41A4" w:rsidRPr="00A4166B" w:rsidRDefault="00EF41A4" w:rsidP="00EF41A4">
      <w:pPr>
        <w:jc w:val="both"/>
      </w:pPr>
    </w:p>
    <w:p w14:paraId="0F5B72CF" w14:textId="3FFAACC9" w:rsidR="001B1224" w:rsidRPr="00A4166B" w:rsidRDefault="00351CD7" w:rsidP="0070335E">
      <w:pPr>
        <w:pStyle w:val="ListParagraph"/>
        <w:jc w:val="both"/>
      </w:pPr>
      <w:r w:rsidRPr="00A4166B">
        <w:t xml:space="preserve">The </w:t>
      </w:r>
      <w:r w:rsidR="003C4A0E" w:rsidRPr="00A4166B">
        <w:t>OIEP Charter/Pledges – Annual Update</w:t>
      </w:r>
      <w:r w:rsidR="001B1224" w:rsidRPr="00A4166B">
        <w:t xml:space="preserve"> report </w:t>
      </w:r>
      <w:r w:rsidR="003C4A0E" w:rsidRPr="00A4166B">
        <w:t xml:space="preserve">was the first annual report setting out an organisational audit against the OIEP pledges; the report was in response to a recommendation of the Committee in on 04 July 2023 when the OIEP Charter/Pledges </w:t>
      </w:r>
      <w:proofErr w:type="gramStart"/>
      <w:r w:rsidR="003C4A0E" w:rsidRPr="00A4166B">
        <w:t>was</w:t>
      </w:r>
      <w:proofErr w:type="gramEnd"/>
      <w:r w:rsidR="003C4A0E" w:rsidRPr="00A4166B">
        <w:t xml:space="preserve"> presented prior to Cabinet approval in July 2023.</w:t>
      </w:r>
      <w:r w:rsidR="001B1224" w:rsidRPr="00A4166B">
        <w:t xml:space="preserve"> The Committee asked a range of questions, including questions relating to</w:t>
      </w:r>
      <w:r w:rsidR="00F66F7C" w:rsidRPr="00A4166B">
        <w:t xml:space="preserve"> </w:t>
      </w:r>
      <w:r w:rsidR="003C4A0E" w:rsidRPr="00A4166B">
        <w:t>the use of data to evidence progressing pledges; the importance of disaggregated data in showing progress towards specific pledges; and social value in procurement exercises, particularly in relation to the Oxford Living Wage.</w:t>
      </w:r>
      <w:r w:rsidR="001B1224" w:rsidRPr="00A4166B">
        <w:t xml:space="preserve"> </w:t>
      </w:r>
      <w:r w:rsidR="003C4A0E" w:rsidRPr="00A4166B">
        <w:t>Two</w:t>
      </w:r>
      <w:r w:rsidR="001B1224" w:rsidRPr="00A4166B">
        <w:t xml:space="preserve"> recommendation</w:t>
      </w:r>
      <w:r w:rsidR="003C4A0E" w:rsidRPr="00A4166B">
        <w:t>s</w:t>
      </w:r>
      <w:r w:rsidR="001B1224" w:rsidRPr="00A4166B">
        <w:t xml:space="preserve"> </w:t>
      </w:r>
      <w:r w:rsidR="00072C0A" w:rsidRPr="00A4166B">
        <w:t>w</w:t>
      </w:r>
      <w:r w:rsidR="003C4A0E" w:rsidRPr="00A4166B">
        <w:t>ere</w:t>
      </w:r>
      <w:r w:rsidR="001B1224" w:rsidRPr="00A4166B">
        <w:t xml:space="preserve"> agreed.</w:t>
      </w:r>
    </w:p>
    <w:p w14:paraId="475B8C91" w14:textId="74EC9174" w:rsidR="003C4A0E" w:rsidRPr="00A4166B" w:rsidRDefault="008203EF" w:rsidP="00355283">
      <w:pPr>
        <w:pStyle w:val="ListParagraph"/>
        <w:jc w:val="both"/>
      </w:pPr>
      <w:r w:rsidRPr="00A4166B">
        <w:t>The</w:t>
      </w:r>
      <w:r w:rsidR="001B1224" w:rsidRPr="00A4166B">
        <w:t xml:space="preserve"> </w:t>
      </w:r>
      <w:r w:rsidR="003C4A0E" w:rsidRPr="00A4166B">
        <w:t xml:space="preserve">Safeguarding Annual Report 2023-24 set out the roles, </w:t>
      </w:r>
      <w:proofErr w:type="gramStart"/>
      <w:r w:rsidR="003C4A0E" w:rsidRPr="00A4166B">
        <w:t>responsibilities</w:t>
      </w:r>
      <w:proofErr w:type="gramEnd"/>
      <w:r w:rsidR="003C4A0E" w:rsidRPr="00A4166B">
        <w:t xml:space="preserve"> and performance of the Council in relation to its statutory safegaurding obligations. The Committee asked a range of questions, including questions relating to housing and homelessness; safeguarding migrants and individuals without right to remain in the UK; the Severe Weather Emergency Protocol (SWEP); domestic abuse training; adult exploitation; </w:t>
      </w:r>
      <w:r w:rsidR="00D2575F" w:rsidRPr="00A4166B">
        <w:t>and the identification of vulnerable tenants. There were no recommendations.</w:t>
      </w:r>
    </w:p>
    <w:p w14:paraId="705F9A5B" w14:textId="6C68752A" w:rsidR="00D2575F" w:rsidRPr="00A4166B" w:rsidRDefault="00F66F7C" w:rsidP="00D2575F">
      <w:pPr>
        <w:pStyle w:val="ListParagraph"/>
        <w:jc w:val="both"/>
      </w:pPr>
      <w:r w:rsidRPr="00A4166B">
        <w:t xml:space="preserve">The </w:t>
      </w:r>
      <w:r w:rsidR="00D2575F" w:rsidRPr="00A4166B">
        <w:t>Anti-Social Behaviour item was a presentation which provided</w:t>
      </w:r>
      <w:r w:rsidR="00D2575F" w:rsidRPr="00A4166B">
        <w:t xml:space="preserve"> the Committee with a general overview of Anti-Social Behaviour ahead of undertaking a review of the Council’s Anti-Social Behaviour Policy later in 2024/25. The presentation cover</w:t>
      </w:r>
      <w:r w:rsidR="00D2575F" w:rsidRPr="00A4166B">
        <w:t>ed</w:t>
      </w:r>
      <w:r w:rsidR="00D2575F" w:rsidRPr="00A4166B">
        <w:t xml:space="preserve"> topics </w:t>
      </w:r>
      <w:proofErr w:type="gramStart"/>
      <w:r w:rsidR="00D2575F" w:rsidRPr="00A4166B">
        <w:t>including:</w:t>
      </w:r>
      <w:proofErr w:type="gramEnd"/>
      <w:r w:rsidR="00D2575F" w:rsidRPr="00A4166B">
        <w:t xml:space="preserve"> roles, responsibilities, legislation, partnership working and performance/management information.</w:t>
      </w:r>
      <w:r w:rsidR="00D2575F" w:rsidRPr="00A4166B">
        <w:t xml:space="preserve"> </w:t>
      </w:r>
      <w:r w:rsidR="00D2575F" w:rsidRPr="00A4166B">
        <w:t xml:space="preserve">The Committee asked a range of questions, including questions relating to fly-tipping by HMO landlords and students; littering </w:t>
      </w:r>
      <w:r w:rsidR="00D2575F" w:rsidRPr="00A4166B">
        <w:lastRenderedPageBreak/>
        <w:t>associated with the closure of recycling facilities; anti-social cycling using illegal e-bikes; enforcement; partnership working; noise nuisance; governance and transparency in relation to which agencies/sub-teams had responsibility for different aspects of anti-social behaviour, including reporting mechanisms; and resourcing.</w:t>
      </w:r>
      <w:r w:rsidR="00D2575F" w:rsidRPr="00A4166B">
        <w:t xml:space="preserve"> One recommendation was agreed.</w:t>
      </w:r>
    </w:p>
    <w:p w14:paraId="4446CC87" w14:textId="1AFA4752" w:rsidR="00D107CA" w:rsidRPr="00A4166B" w:rsidRDefault="00D107CA" w:rsidP="00D107CA">
      <w:pPr>
        <w:rPr>
          <w:b/>
        </w:rPr>
      </w:pPr>
      <w:r w:rsidRPr="00A4166B">
        <w:rPr>
          <w:b/>
        </w:rPr>
        <w:t xml:space="preserve">Cabinet Responses to Recommendations: </w:t>
      </w:r>
      <w:r w:rsidR="00D2575F" w:rsidRPr="00A4166B">
        <w:rPr>
          <w:b/>
        </w:rPr>
        <w:t>September</w:t>
      </w:r>
      <w:r w:rsidR="009F45CA" w:rsidRPr="00A4166B">
        <w:rPr>
          <w:b/>
        </w:rPr>
        <w:t xml:space="preserve"> 2024</w:t>
      </w:r>
    </w:p>
    <w:p w14:paraId="6B213560" w14:textId="49FE1513" w:rsidR="00D107CA" w:rsidRPr="00A4166B" w:rsidRDefault="00D107CA" w:rsidP="00355283">
      <w:pPr>
        <w:pStyle w:val="ListParagraph"/>
        <w:spacing w:before="240"/>
        <w:jc w:val="both"/>
      </w:pPr>
      <w:r w:rsidRPr="00A4166B">
        <w:t xml:space="preserve">The following reports were submitted to Cabinet in </w:t>
      </w:r>
      <w:r w:rsidR="00D2575F" w:rsidRPr="00A4166B">
        <w:t>September</w:t>
      </w:r>
      <w:r w:rsidR="009F45CA" w:rsidRPr="00A4166B">
        <w:t xml:space="preserve"> 2024</w:t>
      </w:r>
      <w:r w:rsidRPr="00A4166B">
        <w:t>:</w:t>
      </w:r>
    </w:p>
    <w:p w14:paraId="0180EC52" w14:textId="77777777" w:rsidR="00D2575F" w:rsidRPr="00A4166B" w:rsidRDefault="00D2575F" w:rsidP="00D2575F">
      <w:pPr>
        <w:pStyle w:val="ListParagraph"/>
        <w:numPr>
          <w:ilvl w:val="0"/>
          <w:numId w:val="22"/>
        </w:numPr>
      </w:pPr>
      <w:r w:rsidRPr="00A4166B">
        <w:t>Oxfordshire Inclusive Economy Partnership (OIEP) Charter/Pledges – Annual Update</w:t>
      </w:r>
    </w:p>
    <w:p w14:paraId="1B789CFF" w14:textId="77777777" w:rsidR="00D2575F" w:rsidRPr="00A4166B" w:rsidRDefault="00D2575F" w:rsidP="00D2575F">
      <w:pPr>
        <w:pStyle w:val="ListParagraph"/>
        <w:numPr>
          <w:ilvl w:val="0"/>
          <w:numId w:val="22"/>
        </w:numPr>
      </w:pPr>
      <w:r w:rsidRPr="00A4166B">
        <w:t xml:space="preserve">Anti-Social Behaviour </w:t>
      </w:r>
    </w:p>
    <w:p w14:paraId="3475ED32" w14:textId="5AFE9E42" w:rsidR="00D2575F" w:rsidRPr="00A4166B" w:rsidRDefault="00D2575F" w:rsidP="00D2575F">
      <w:pPr>
        <w:pStyle w:val="ListParagraph"/>
        <w:numPr>
          <w:ilvl w:val="0"/>
          <w:numId w:val="22"/>
        </w:numPr>
      </w:pPr>
      <w:r w:rsidRPr="00A4166B">
        <w:t>Treasury Management Annual Report 2023-24 (</w:t>
      </w:r>
      <w:r w:rsidRPr="00A4166B">
        <w:rPr>
          <w:i/>
          <w:iCs/>
        </w:rPr>
        <w:t>Cabinet report</w:t>
      </w:r>
      <w:r w:rsidRPr="00A4166B">
        <w:t>)</w:t>
      </w:r>
    </w:p>
    <w:p w14:paraId="205D827D" w14:textId="01A4E48D" w:rsidR="00D2575F" w:rsidRPr="00A4166B" w:rsidRDefault="00D2575F" w:rsidP="00D2575F">
      <w:pPr>
        <w:pStyle w:val="ListParagraph"/>
        <w:numPr>
          <w:ilvl w:val="0"/>
          <w:numId w:val="22"/>
        </w:numPr>
      </w:pPr>
      <w:r w:rsidRPr="00A4166B">
        <w:t>Integrated Performance Report Q1 2024/25 (</w:t>
      </w:r>
      <w:r w:rsidRPr="00A4166B">
        <w:rPr>
          <w:i/>
          <w:iCs/>
        </w:rPr>
        <w:t>Cabinet report</w:t>
      </w:r>
      <w:r w:rsidRPr="00A4166B">
        <w:t>)</w:t>
      </w:r>
    </w:p>
    <w:p w14:paraId="04324C00" w14:textId="77777777" w:rsidR="00D107CA" w:rsidRPr="00A4166B" w:rsidRDefault="00D107CA" w:rsidP="00355283">
      <w:pPr>
        <w:jc w:val="both"/>
      </w:pPr>
    </w:p>
    <w:p w14:paraId="20CE3485" w14:textId="34CDBCD1" w:rsidR="00D2575F" w:rsidRPr="00A4166B" w:rsidRDefault="00D2575F" w:rsidP="00D2575F">
      <w:pPr>
        <w:pStyle w:val="ListParagraph"/>
        <w:jc w:val="both"/>
      </w:pPr>
      <w:r w:rsidRPr="00A4166B">
        <w:t xml:space="preserve">Of the </w:t>
      </w:r>
      <w:r w:rsidRPr="00A4166B">
        <w:t>five</w:t>
      </w:r>
      <w:r w:rsidRPr="00A4166B">
        <w:t xml:space="preserve"> recommendations submitted across the </w:t>
      </w:r>
      <w:r w:rsidRPr="00A4166B">
        <w:t>four</w:t>
      </w:r>
      <w:r w:rsidRPr="00A4166B">
        <w:t xml:space="preserve"> reports, three were agreed. The relevant Cabinet Member did not indicate </w:t>
      </w:r>
      <w:proofErr w:type="gramStart"/>
      <w:r w:rsidRPr="00A4166B">
        <w:t>whether or not</w:t>
      </w:r>
      <w:proofErr w:type="gramEnd"/>
      <w:r w:rsidRPr="00A4166B">
        <w:t xml:space="preserve"> recommendations were agreed in relation to </w:t>
      </w:r>
      <w:r w:rsidRPr="00A4166B">
        <w:t>two</w:t>
      </w:r>
      <w:r w:rsidRPr="00A4166B">
        <w:t xml:space="preserve"> recommendations – providing a written commentary only.</w:t>
      </w:r>
    </w:p>
    <w:p w14:paraId="4AC8800D" w14:textId="222C1FBA" w:rsidR="001667BA" w:rsidRPr="00A4166B" w:rsidRDefault="001667BA" w:rsidP="00355283">
      <w:pPr>
        <w:jc w:val="both"/>
      </w:pPr>
    </w:p>
    <w:p w14:paraId="4F74B320" w14:textId="6C5B0659" w:rsidR="009F45CA" w:rsidRPr="00A4166B" w:rsidRDefault="009F45CA" w:rsidP="00FF6C09">
      <w:pPr>
        <w:pStyle w:val="Heading1"/>
        <w:jc w:val="both"/>
      </w:pPr>
      <w:r w:rsidRPr="00A4166B">
        <w:t>Housing and Homelessness Panel</w:t>
      </w:r>
    </w:p>
    <w:p w14:paraId="2B3BA80E" w14:textId="4C71BFFF" w:rsidR="009F45CA" w:rsidRPr="00A4166B" w:rsidRDefault="009F45CA" w:rsidP="009F45CA">
      <w:pPr>
        <w:pStyle w:val="ListParagraph"/>
        <w:jc w:val="both"/>
      </w:pPr>
      <w:r w:rsidRPr="00A4166B">
        <w:t xml:space="preserve">The </w:t>
      </w:r>
      <w:r w:rsidR="00DD7100" w:rsidRPr="00A4166B">
        <w:t>Housing and Homelessness</w:t>
      </w:r>
      <w:r w:rsidRPr="00A4166B">
        <w:t xml:space="preserve"> Panel </w:t>
      </w:r>
      <w:r w:rsidR="00070E1B" w:rsidRPr="00A4166B">
        <w:t>met once during this reporting period, on 0</w:t>
      </w:r>
      <w:r w:rsidR="00D2575F" w:rsidRPr="00A4166B">
        <w:t>3 July</w:t>
      </w:r>
      <w:r w:rsidR="00070E1B" w:rsidRPr="00A4166B">
        <w:t xml:space="preserve"> 2024.</w:t>
      </w:r>
      <w:r w:rsidR="00D2575F" w:rsidRPr="00A4166B">
        <w:t xml:space="preserve"> The Housing and Homelessness Panel scheduled for 07 August 2024 was cancelled due to no business.</w:t>
      </w:r>
    </w:p>
    <w:p w14:paraId="5D9A8A27" w14:textId="665A9D08" w:rsidR="00070E1B" w:rsidRPr="00A4166B" w:rsidRDefault="00070E1B" w:rsidP="009F45CA">
      <w:pPr>
        <w:pStyle w:val="ListParagraph"/>
        <w:jc w:val="both"/>
      </w:pPr>
      <w:r w:rsidRPr="00A4166B">
        <w:t xml:space="preserve">At its meeting on </w:t>
      </w:r>
      <w:r w:rsidR="00D2575F" w:rsidRPr="00A4166B">
        <w:t>03 July</w:t>
      </w:r>
      <w:r w:rsidRPr="00A4166B">
        <w:t xml:space="preserve"> 2024, the Panel considered four substantive items:</w:t>
      </w:r>
    </w:p>
    <w:p w14:paraId="17002B38" w14:textId="7D15D545" w:rsidR="00070E1B" w:rsidRPr="00A4166B" w:rsidRDefault="00D2575F" w:rsidP="00070E1B">
      <w:pPr>
        <w:pStyle w:val="ListParagraph"/>
        <w:numPr>
          <w:ilvl w:val="0"/>
          <w:numId w:val="17"/>
        </w:numPr>
        <w:jc w:val="both"/>
      </w:pPr>
      <w:r w:rsidRPr="00A4166B">
        <w:t>2024/25 Capital Programmes (HRA) Delegations</w:t>
      </w:r>
      <w:r w:rsidR="00070E1B" w:rsidRPr="00A4166B">
        <w:t xml:space="preserve"> (</w:t>
      </w:r>
      <w:r w:rsidR="00070E1B" w:rsidRPr="00A4166B">
        <w:rPr>
          <w:i/>
          <w:iCs/>
        </w:rPr>
        <w:t>Cabinet report</w:t>
      </w:r>
      <w:r w:rsidR="00070E1B" w:rsidRPr="00A4166B">
        <w:t>)</w:t>
      </w:r>
    </w:p>
    <w:p w14:paraId="6485372B" w14:textId="34E87D20" w:rsidR="00070E1B" w:rsidRPr="00A4166B" w:rsidRDefault="00D2575F" w:rsidP="00070E1B">
      <w:pPr>
        <w:pStyle w:val="ListParagraph"/>
        <w:numPr>
          <w:ilvl w:val="0"/>
          <w:numId w:val="17"/>
        </w:numPr>
        <w:jc w:val="both"/>
      </w:pPr>
      <w:r w:rsidRPr="00A4166B">
        <w:t>Annual Review of the Housing, Homelessness and Rough Sleeping Strategy 2023-28 (</w:t>
      </w:r>
      <w:r w:rsidRPr="00A4166B">
        <w:rPr>
          <w:i/>
          <w:iCs/>
        </w:rPr>
        <w:t>Cabinet report</w:t>
      </w:r>
      <w:r w:rsidRPr="00A4166B">
        <w:t>)</w:t>
      </w:r>
    </w:p>
    <w:p w14:paraId="70905420" w14:textId="0E27C147" w:rsidR="00070E1B" w:rsidRPr="00A4166B" w:rsidRDefault="00D2575F" w:rsidP="00070E1B">
      <w:pPr>
        <w:pStyle w:val="ListParagraph"/>
        <w:numPr>
          <w:ilvl w:val="0"/>
          <w:numId w:val="17"/>
        </w:numPr>
        <w:jc w:val="both"/>
      </w:pPr>
      <w:r w:rsidRPr="00A4166B">
        <w:t>Temporary Accommodation Demand and Mitigations (</w:t>
      </w:r>
      <w:r w:rsidRPr="00A4166B">
        <w:rPr>
          <w:i/>
          <w:iCs/>
        </w:rPr>
        <w:t>Cabinet report</w:t>
      </w:r>
      <w:r w:rsidRPr="00A4166B">
        <w:t>)</w:t>
      </w:r>
    </w:p>
    <w:p w14:paraId="0CD30DCC" w14:textId="7C1A8AB3" w:rsidR="00070E1B" w:rsidRPr="00A4166B" w:rsidRDefault="008E226E" w:rsidP="00070E1B">
      <w:pPr>
        <w:pStyle w:val="ListParagraph"/>
        <w:numPr>
          <w:ilvl w:val="0"/>
          <w:numId w:val="17"/>
        </w:numPr>
        <w:jc w:val="both"/>
      </w:pPr>
      <w:r w:rsidRPr="00A4166B">
        <w:t>Housing Performance Monitoring Q4 2023/24</w:t>
      </w:r>
    </w:p>
    <w:p w14:paraId="617F286E" w14:textId="77777777" w:rsidR="00070E1B" w:rsidRPr="00A4166B" w:rsidRDefault="00070E1B" w:rsidP="00070E1B">
      <w:pPr>
        <w:jc w:val="both"/>
      </w:pPr>
    </w:p>
    <w:p w14:paraId="5D5D8BE6" w14:textId="57CBED21" w:rsidR="00CE63E7" w:rsidRPr="00A4166B" w:rsidRDefault="00070E1B" w:rsidP="00CE63E7">
      <w:pPr>
        <w:pStyle w:val="ListParagraph"/>
        <w:jc w:val="both"/>
      </w:pPr>
      <w:r w:rsidRPr="00A4166B">
        <w:t xml:space="preserve">The </w:t>
      </w:r>
      <w:r w:rsidR="008E226E" w:rsidRPr="00A4166B">
        <w:t xml:space="preserve">2024/25 Capital Programmes (HRA) Delegations </w:t>
      </w:r>
      <w:r w:rsidRPr="00A4166B">
        <w:t>report sough</w:t>
      </w:r>
      <w:r w:rsidR="00092472" w:rsidRPr="00A4166B">
        <w:t>t</w:t>
      </w:r>
      <w:r w:rsidRPr="00A4166B">
        <w:t xml:space="preserve"> </w:t>
      </w:r>
      <w:r w:rsidR="008E226E" w:rsidRPr="00A4166B">
        <w:t xml:space="preserve">Cabinet </w:t>
      </w:r>
      <w:r w:rsidR="008E226E" w:rsidRPr="00A4166B">
        <w:t>approval for the Housing Revenue Account (HRA) Capital Programmes for 2024/25.</w:t>
      </w:r>
      <w:r w:rsidR="008E226E" w:rsidRPr="00A4166B">
        <w:t xml:space="preserve"> </w:t>
      </w:r>
      <w:r w:rsidR="00CE63E7" w:rsidRPr="00A4166B">
        <w:t xml:space="preserve">The Panel asked a range of questions, including questions relating to </w:t>
      </w:r>
      <w:r w:rsidR="008E226E" w:rsidRPr="00A4166B">
        <w:t>prioritisation and delivery of Capital works; the HRA stock condition survey; damp and mould issues; and Energy Performance Certificates (EPCs). There were no recommendations.</w:t>
      </w:r>
    </w:p>
    <w:p w14:paraId="6A56AF82" w14:textId="6BF563E5" w:rsidR="00CE63E7" w:rsidRPr="00A4166B" w:rsidRDefault="00CE63E7" w:rsidP="00CE63E7">
      <w:pPr>
        <w:pStyle w:val="ListParagraph"/>
        <w:jc w:val="both"/>
      </w:pPr>
      <w:r w:rsidRPr="00A4166B">
        <w:t xml:space="preserve">The </w:t>
      </w:r>
      <w:r w:rsidR="008E226E" w:rsidRPr="00A4166B">
        <w:t xml:space="preserve">Annual Review of the Housing, Homelessness and Rough Sleeping Strategy 2023-28 </w:t>
      </w:r>
      <w:r w:rsidRPr="00A4166B">
        <w:t xml:space="preserve">report </w:t>
      </w:r>
      <w:r w:rsidR="008E226E" w:rsidRPr="00A4166B">
        <w:t>provided an update on the progress made in Year 1 of the Housing, Homelessness and Rough Sleeping Strategy 2023-28 and sought Cabinet approval for implementation of the Year 2 action plan.</w:t>
      </w:r>
      <w:r w:rsidRPr="00A4166B">
        <w:t xml:space="preserve"> The Panel </w:t>
      </w:r>
      <w:r w:rsidR="008E226E" w:rsidRPr="00A4166B">
        <w:t>asked a range of questions, including questions relating to review of the action plan in-year; First Homes and affordable homes; the Home Upgrade (HUG2) Grant; Temporary Accommodation; Housing First; the asset management strategy referenced within the report; and development of the HRA Business Plan. There were no recommendations.</w:t>
      </w:r>
    </w:p>
    <w:p w14:paraId="49040B3C" w14:textId="14CB0B87" w:rsidR="00CE63E7" w:rsidRPr="00A4166B" w:rsidRDefault="00CE63E7" w:rsidP="00A2538A">
      <w:pPr>
        <w:pStyle w:val="ListParagraph"/>
        <w:jc w:val="both"/>
      </w:pPr>
      <w:r w:rsidRPr="00A4166B">
        <w:lastRenderedPageBreak/>
        <w:t xml:space="preserve">The </w:t>
      </w:r>
      <w:r w:rsidR="008E226E" w:rsidRPr="00A4166B">
        <w:t xml:space="preserve">Temporary Accommodation Demand and Mitigations report </w:t>
      </w:r>
      <w:r w:rsidR="008E226E" w:rsidRPr="00A4166B">
        <w:t>provided an update on increasing levels of homelessness use of Temporary Accommodation and mitigations in Oxford.</w:t>
      </w:r>
      <w:r w:rsidR="00A2538A" w:rsidRPr="00A4166B">
        <w:t xml:space="preserve"> The Panel asked a range of questions, including questions relating to </w:t>
      </w:r>
      <w:r w:rsidR="008E226E" w:rsidRPr="00A4166B">
        <w:t>partnership working between the Council’s Housing Services and Anti-Social Behaviour teams; the Council’s statutory duties in relation to provision of Temporary Accommodation; long-term rough sleepers; Council housing stock; officer capacity; and the significant costs associated with the increased demand for Temporary Accommodation. There were no recommendations.</w:t>
      </w:r>
    </w:p>
    <w:p w14:paraId="4ADBA322" w14:textId="4D5E0012" w:rsidR="008E226E" w:rsidRPr="00A4166B" w:rsidRDefault="008E226E" w:rsidP="00A2538A">
      <w:pPr>
        <w:pStyle w:val="ListParagraph"/>
        <w:jc w:val="both"/>
      </w:pPr>
      <w:r w:rsidRPr="00A4166B">
        <w:t xml:space="preserve">The Housing Performance Monitoring Q4 2023/24 report </w:t>
      </w:r>
      <w:r w:rsidR="00147932" w:rsidRPr="00A4166B">
        <w:t xml:space="preserve">set out the Council’s performance on </w:t>
      </w:r>
      <w:proofErr w:type="gramStart"/>
      <w:r w:rsidR="00147932" w:rsidRPr="00A4166B">
        <w:t>a number of</w:t>
      </w:r>
      <w:proofErr w:type="gramEnd"/>
      <w:r w:rsidR="00147932" w:rsidRPr="00A4166B">
        <w:t xml:space="preserve"> key performance indicators (KPIs) relevant to Housing Services for Quarter </w:t>
      </w:r>
      <w:r w:rsidR="00147932" w:rsidRPr="00A4166B">
        <w:t>4</w:t>
      </w:r>
      <w:r w:rsidR="00147932" w:rsidRPr="00A4166B">
        <w:t xml:space="preserve"> of the 2023/24 municipal year</w:t>
      </w:r>
      <w:r w:rsidR="00147932" w:rsidRPr="00A4166B">
        <w:t>. There were no recommendations.</w:t>
      </w:r>
    </w:p>
    <w:p w14:paraId="7B0F69A2" w14:textId="0A10C0A1" w:rsidR="009F45CA" w:rsidRPr="00A4166B" w:rsidRDefault="009F45CA" w:rsidP="009F45CA"/>
    <w:p w14:paraId="105D243E" w14:textId="0292A947" w:rsidR="00DA44E0" w:rsidRPr="00A4166B" w:rsidRDefault="008D7BDB" w:rsidP="00FF6C09">
      <w:pPr>
        <w:pStyle w:val="Heading1"/>
        <w:jc w:val="both"/>
      </w:pPr>
      <w:r w:rsidRPr="00A4166B">
        <w:t xml:space="preserve">Finance </w:t>
      </w:r>
      <w:r w:rsidR="00AB090D" w:rsidRPr="00A4166B">
        <w:t xml:space="preserve">and Performance </w:t>
      </w:r>
      <w:r w:rsidRPr="00A4166B">
        <w:t xml:space="preserve">Panel </w:t>
      </w:r>
    </w:p>
    <w:p w14:paraId="60442AA6" w14:textId="133E6CFD" w:rsidR="001F55F5" w:rsidRPr="00A4166B" w:rsidRDefault="005B01ED" w:rsidP="00355283">
      <w:pPr>
        <w:pStyle w:val="ListParagraph"/>
        <w:jc w:val="both"/>
      </w:pPr>
      <w:r w:rsidRPr="00A4166B">
        <w:t>T</w:t>
      </w:r>
      <w:r w:rsidR="008D7BDB" w:rsidRPr="00A4166B">
        <w:t xml:space="preserve">he Finance </w:t>
      </w:r>
      <w:r w:rsidR="00AB090D" w:rsidRPr="00A4166B">
        <w:t xml:space="preserve">and Performance </w:t>
      </w:r>
      <w:r w:rsidR="008D7BDB" w:rsidRPr="00A4166B">
        <w:t>Panel</w:t>
      </w:r>
      <w:r w:rsidR="00B35AB1" w:rsidRPr="00A4166B">
        <w:t xml:space="preserve"> </w:t>
      </w:r>
      <w:r w:rsidR="001F55F5" w:rsidRPr="00A4166B">
        <w:t xml:space="preserve">met </w:t>
      </w:r>
      <w:r w:rsidR="00147932" w:rsidRPr="00A4166B">
        <w:t>three times</w:t>
      </w:r>
      <w:r w:rsidR="001F55F5" w:rsidRPr="00A4166B">
        <w:t xml:space="preserve"> </w:t>
      </w:r>
      <w:r w:rsidR="00C726CC" w:rsidRPr="00A4166B">
        <w:t xml:space="preserve">during </w:t>
      </w:r>
      <w:r w:rsidR="002666E5" w:rsidRPr="00A4166B">
        <w:t xml:space="preserve">this reporting period, on </w:t>
      </w:r>
      <w:r w:rsidR="00147932" w:rsidRPr="00A4166B">
        <w:t>18 July 2024, 27 August 2024 (</w:t>
      </w:r>
      <w:r w:rsidR="00147932" w:rsidRPr="00A4166B">
        <w:rPr>
          <w:i/>
          <w:iCs/>
        </w:rPr>
        <w:t>extraordinary meeting</w:t>
      </w:r>
      <w:r w:rsidR="00147932" w:rsidRPr="00A4166B">
        <w:t>) and 04 September 2024</w:t>
      </w:r>
      <w:r w:rsidR="002666E5" w:rsidRPr="00A4166B">
        <w:t>.</w:t>
      </w:r>
      <w:r w:rsidR="00147932" w:rsidRPr="00A4166B">
        <w:t xml:space="preserve"> </w:t>
      </w:r>
    </w:p>
    <w:p w14:paraId="32251120" w14:textId="04355EAC" w:rsidR="001F55F5" w:rsidRPr="00A4166B" w:rsidRDefault="001F55F5" w:rsidP="00355283">
      <w:pPr>
        <w:pStyle w:val="ListParagraph"/>
        <w:jc w:val="both"/>
      </w:pPr>
      <w:r w:rsidRPr="00A4166B">
        <w:t xml:space="preserve">At its meeting on </w:t>
      </w:r>
      <w:r w:rsidR="00147932" w:rsidRPr="00A4166B">
        <w:t>18 July</w:t>
      </w:r>
      <w:r w:rsidR="009F45CA" w:rsidRPr="00A4166B">
        <w:t xml:space="preserve"> 2024</w:t>
      </w:r>
      <w:r w:rsidRPr="00A4166B">
        <w:t xml:space="preserve">, the Panel considered </w:t>
      </w:r>
      <w:r w:rsidR="00147932" w:rsidRPr="00A4166B">
        <w:t>five</w:t>
      </w:r>
      <w:r w:rsidR="0011544E" w:rsidRPr="00A4166B">
        <w:t xml:space="preserve"> substantive </w:t>
      </w:r>
      <w:r w:rsidR="009F45CA" w:rsidRPr="00A4166B">
        <w:t>items</w:t>
      </w:r>
      <w:r w:rsidR="0011544E" w:rsidRPr="00A4166B">
        <w:t>:</w:t>
      </w:r>
    </w:p>
    <w:p w14:paraId="3C85CC18" w14:textId="53AF29D5" w:rsidR="00147932" w:rsidRPr="00A4166B" w:rsidRDefault="00147932" w:rsidP="00147932">
      <w:pPr>
        <w:pStyle w:val="ListParagraph"/>
        <w:numPr>
          <w:ilvl w:val="0"/>
          <w:numId w:val="6"/>
        </w:numPr>
        <w:jc w:val="both"/>
      </w:pPr>
      <w:r w:rsidRPr="00A4166B">
        <w:t xml:space="preserve">Strategic Review of Services Across Community Services – </w:t>
      </w:r>
      <w:r w:rsidRPr="00A4166B">
        <w:t>Progress Update</w:t>
      </w:r>
    </w:p>
    <w:p w14:paraId="3D1DD51F" w14:textId="79568824" w:rsidR="00147932" w:rsidRPr="00A4166B" w:rsidRDefault="00147932" w:rsidP="00147932">
      <w:pPr>
        <w:pStyle w:val="ListParagraph"/>
        <w:numPr>
          <w:ilvl w:val="0"/>
          <w:numId w:val="6"/>
        </w:numPr>
        <w:jc w:val="both"/>
      </w:pPr>
      <w:r w:rsidRPr="00A4166B">
        <w:t xml:space="preserve">Strategic Review of Services Provided by Oxford Direct Services (ODS) – </w:t>
      </w:r>
      <w:r w:rsidRPr="00A4166B">
        <w:t>Progress Update</w:t>
      </w:r>
    </w:p>
    <w:p w14:paraId="5439A4BF" w14:textId="4192F069" w:rsidR="00147932" w:rsidRPr="00A4166B" w:rsidRDefault="00147932" w:rsidP="00355283">
      <w:pPr>
        <w:pStyle w:val="ListParagraph"/>
        <w:numPr>
          <w:ilvl w:val="0"/>
          <w:numId w:val="6"/>
        </w:numPr>
        <w:jc w:val="both"/>
      </w:pPr>
      <w:r w:rsidRPr="00A4166B">
        <w:t>Comparative Analysis – Capital Slippage</w:t>
      </w:r>
    </w:p>
    <w:p w14:paraId="449D92A2" w14:textId="5EADFFC2" w:rsidR="0011544E" w:rsidRPr="00A4166B" w:rsidRDefault="00147932" w:rsidP="00355283">
      <w:pPr>
        <w:pStyle w:val="ListParagraph"/>
        <w:numPr>
          <w:ilvl w:val="0"/>
          <w:numId w:val="6"/>
        </w:numPr>
        <w:jc w:val="both"/>
      </w:pPr>
      <w:r w:rsidRPr="00A4166B">
        <w:t>Financial Outturn</w:t>
      </w:r>
      <w:r w:rsidR="003B1C93" w:rsidRPr="00A4166B">
        <w:t xml:space="preserve"> Report 2023/24</w:t>
      </w:r>
      <w:r w:rsidR="00F7499D" w:rsidRPr="00A4166B">
        <w:t xml:space="preserve"> (</w:t>
      </w:r>
      <w:r w:rsidR="00F7499D" w:rsidRPr="00A4166B">
        <w:rPr>
          <w:i/>
          <w:iCs/>
        </w:rPr>
        <w:t>Cabinet report</w:t>
      </w:r>
      <w:r w:rsidR="00F7499D" w:rsidRPr="00A4166B">
        <w:t>)</w:t>
      </w:r>
    </w:p>
    <w:p w14:paraId="0D7A292B" w14:textId="7D69BC46" w:rsidR="00F7499D" w:rsidRPr="00A4166B" w:rsidRDefault="003B1C93" w:rsidP="00355283">
      <w:pPr>
        <w:pStyle w:val="ListParagraph"/>
        <w:numPr>
          <w:ilvl w:val="0"/>
          <w:numId w:val="6"/>
        </w:numPr>
        <w:jc w:val="both"/>
      </w:pPr>
      <w:r w:rsidRPr="00A4166B">
        <w:t>Scrutiny Performance Monitoring</w:t>
      </w:r>
    </w:p>
    <w:p w14:paraId="17BB0B7B" w14:textId="285CEC37" w:rsidR="00147932" w:rsidRPr="00A4166B" w:rsidRDefault="00147932" w:rsidP="00147932">
      <w:pPr>
        <w:pStyle w:val="ListParagraph"/>
        <w:jc w:val="both"/>
      </w:pPr>
      <w:r w:rsidRPr="00A4166B">
        <w:t xml:space="preserve">The Strategic Review of Services Across Community Services – </w:t>
      </w:r>
      <w:r w:rsidRPr="00A4166B">
        <w:t>Progress Update</w:t>
      </w:r>
      <w:r w:rsidRPr="00A4166B">
        <w:t xml:space="preserve"> item was considered by the Panel in private. The Panel</w:t>
      </w:r>
      <w:r w:rsidRPr="00A4166B">
        <w:t xml:space="preserve"> </w:t>
      </w:r>
      <w:r w:rsidRPr="00A4166B">
        <w:t>was disappointed with the limited level of detail included within the report as it did not allow for any scrutiny; particular concerns were raised that a number of key budget savings were proposed which were contingent on the conclusion of the review and these should be subject to adequate scrutiny while proposals were still at the ‘options’ stage, rather than the Panel being presented with a final report.</w:t>
      </w:r>
      <w:r w:rsidRPr="00A4166B">
        <w:t xml:space="preserve"> There were no recommendations, however the Panel requested </w:t>
      </w:r>
      <w:r w:rsidRPr="00A4166B">
        <w:t>consideration of an ‘options’ report related to the review at the appropriate point.</w:t>
      </w:r>
    </w:p>
    <w:p w14:paraId="3F3D172B" w14:textId="79BDCF2D" w:rsidR="00147932" w:rsidRPr="00A4166B" w:rsidRDefault="00147932" w:rsidP="00147932">
      <w:pPr>
        <w:pStyle w:val="ListParagraph"/>
        <w:jc w:val="both"/>
      </w:pPr>
      <w:r w:rsidRPr="00A4166B">
        <w:t xml:space="preserve">The Strategic Review of Services Provided by Oxford Direct Services (ODS) – </w:t>
      </w:r>
      <w:r w:rsidRPr="00A4166B">
        <w:t>Progress Update</w:t>
      </w:r>
      <w:r w:rsidRPr="00A4166B">
        <w:t xml:space="preserve"> item was considered by the Panel in private. The Panel was disappointed with the limited level of detail included within the report as it did not allow for any scrutiny; particular concerns were raised that a number of key budget savings were proposed which were contingent on the conclusion of the review and these should be subject to adequate scrutiny while proposals were still at the ‘options’ stage, rather than the Panel being presented with a final report. There were no recommendations, however the Panel requested consideration of an ‘options’ report related to the review at the appropriate point.</w:t>
      </w:r>
    </w:p>
    <w:p w14:paraId="08EC3982" w14:textId="2D706D81" w:rsidR="00147932" w:rsidRPr="00A4166B" w:rsidRDefault="00147932" w:rsidP="00AC65CF">
      <w:pPr>
        <w:pStyle w:val="ListParagraph"/>
        <w:jc w:val="both"/>
        <w:rPr>
          <w:i/>
          <w:iCs/>
        </w:rPr>
      </w:pPr>
      <w:r w:rsidRPr="00A4166B">
        <w:t xml:space="preserve">The Comparative Analysis – Capital Slippage report </w:t>
      </w:r>
      <w:r w:rsidRPr="00A4166B">
        <w:t xml:space="preserve">had been submitted in response to a previous recommendation of the Panel made in March 2024: </w:t>
      </w:r>
      <w:r w:rsidRPr="00A4166B">
        <w:rPr>
          <w:i/>
          <w:iCs/>
        </w:rPr>
        <w:t xml:space="preserve">‘That the Council undertakes a comparative analysis of the current overall slippage of the Capital Programme and how that aligns with the 40% optimism bias assumptions included </w:t>
      </w:r>
      <w:r w:rsidRPr="00A4166B">
        <w:rPr>
          <w:i/>
          <w:iCs/>
        </w:rPr>
        <w:lastRenderedPageBreak/>
        <w:t>in the MTFP 2024/25 to 2027/28, to understand the extent to which the 40% optimism bias assumptions from 2024/25 are realistic.’</w:t>
      </w:r>
      <w:r w:rsidRPr="00A4166B">
        <w:rPr>
          <w:i/>
          <w:iCs/>
        </w:rPr>
        <w:t xml:space="preserve"> </w:t>
      </w:r>
      <w:r w:rsidR="008C0EB9" w:rsidRPr="00A4166B">
        <w:t xml:space="preserve">The Panel asked a range of questions, including questions relating to the optimism bias assumptions applied to the Capital Programme; risks to Council income </w:t>
      </w:r>
      <w:proofErr w:type="gramStart"/>
      <w:r w:rsidR="008C0EB9" w:rsidRPr="00A4166B">
        <w:t>as a result of</w:t>
      </w:r>
      <w:proofErr w:type="gramEnd"/>
      <w:r w:rsidR="008C0EB9" w:rsidRPr="00A4166B">
        <w:t xml:space="preserve"> slippage; and the impact of OX Place scheme slippage on the dividend to the Council. There were no recommendations.</w:t>
      </w:r>
    </w:p>
    <w:p w14:paraId="3D8A5CF2" w14:textId="7FD833E8" w:rsidR="002A644E" w:rsidRPr="00A4166B" w:rsidRDefault="00D107CA" w:rsidP="00AC65CF">
      <w:pPr>
        <w:pStyle w:val="ListParagraph"/>
        <w:jc w:val="both"/>
      </w:pPr>
      <w:r w:rsidRPr="00A4166B">
        <w:t xml:space="preserve">The </w:t>
      </w:r>
      <w:r w:rsidR="008C0EB9" w:rsidRPr="00A4166B">
        <w:t>Financial Outturn Report</w:t>
      </w:r>
      <w:r w:rsidR="003B1C93" w:rsidRPr="00A4166B">
        <w:t xml:space="preserve"> 2023/24</w:t>
      </w:r>
      <w:r w:rsidR="00D8502E" w:rsidRPr="00A4166B">
        <w:t xml:space="preserve"> </w:t>
      </w:r>
      <w:r w:rsidR="008C0EB9" w:rsidRPr="00A4166B">
        <w:t>provided an update on the Council’s financial outturn for the financial year ending 31 March 2024</w:t>
      </w:r>
      <w:r w:rsidR="00D8502E" w:rsidRPr="00A4166B">
        <w:t xml:space="preserve">. The Panel asked a range of questions, including questions relating to </w:t>
      </w:r>
      <w:r w:rsidR="008C0EB9" w:rsidRPr="00A4166B">
        <w:t xml:space="preserve">the ODS dividend; </w:t>
      </w:r>
      <w:r w:rsidR="00894F5C" w:rsidRPr="00A4166B">
        <w:t xml:space="preserve">additional Council income; Council budget pressures; and the use of Robotic Process Automation (PRA) and Artificial Intelligence (AI) in Council services. There were no recommendations. </w:t>
      </w:r>
    </w:p>
    <w:p w14:paraId="639F5852" w14:textId="58F00F62" w:rsidR="002A644E" w:rsidRPr="00A4166B" w:rsidRDefault="00F7499D" w:rsidP="00AC65CF">
      <w:pPr>
        <w:pStyle w:val="ListParagraph"/>
        <w:jc w:val="both"/>
      </w:pPr>
      <w:r w:rsidRPr="00A4166B">
        <w:t xml:space="preserve">The </w:t>
      </w:r>
      <w:r w:rsidR="00894F5C" w:rsidRPr="00A4166B">
        <w:t xml:space="preserve">Scrutiny Performance Monitoring report </w:t>
      </w:r>
      <w:r w:rsidR="00894F5C" w:rsidRPr="00A4166B">
        <w:t xml:space="preserve">set out Key Performance Indicator (KPI) data as </w:t>
      </w:r>
      <w:proofErr w:type="gramStart"/>
      <w:r w:rsidR="00894F5C" w:rsidRPr="00A4166B">
        <w:t>at</w:t>
      </w:r>
      <w:proofErr w:type="gramEnd"/>
      <w:r w:rsidR="00894F5C" w:rsidRPr="00A4166B">
        <w:t xml:space="preserve"> March 2024</w:t>
      </w:r>
      <w:r w:rsidR="00894F5C" w:rsidRPr="00A4166B">
        <w:t>. There were no recommendations.</w:t>
      </w:r>
    </w:p>
    <w:p w14:paraId="522BD70D" w14:textId="59A06D1D" w:rsidR="00484E48" w:rsidRPr="00A4166B" w:rsidRDefault="00894F5C" w:rsidP="00894F5C">
      <w:pPr>
        <w:pStyle w:val="ListParagraph"/>
        <w:jc w:val="both"/>
      </w:pPr>
      <w:r w:rsidRPr="00A4166B">
        <w:t>At its extraordinary meeting on 27 August 2024, the Panel considered two substantive items:</w:t>
      </w:r>
    </w:p>
    <w:p w14:paraId="23934CC0" w14:textId="242D25CA" w:rsidR="00894F5C" w:rsidRPr="00A4166B" w:rsidRDefault="00894F5C" w:rsidP="00894F5C">
      <w:pPr>
        <w:pStyle w:val="ListParagraph"/>
        <w:numPr>
          <w:ilvl w:val="0"/>
          <w:numId w:val="23"/>
        </w:numPr>
        <w:jc w:val="both"/>
      </w:pPr>
      <w:r w:rsidRPr="00A4166B">
        <w:t xml:space="preserve">ODS Group Performance Report </w:t>
      </w:r>
      <w:r w:rsidRPr="00A4166B">
        <w:rPr>
          <w:i/>
          <w:iCs/>
        </w:rPr>
        <w:t>(SJVG report)</w:t>
      </w:r>
    </w:p>
    <w:p w14:paraId="058435F2" w14:textId="5FC223C5" w:rsidR="00894F5C" w:rsidRPr="00A4166B" w:rsidRDefault="00894F5C" w:rsidP="00894F5C">
      <w:pPr>
        <w:pStyle w:val="ListParagraph"/>
        <w:numPr>
          <w:ilvl w:val="0"/>
          <w:numId w:val="23"/>
        </w:numPr>
        <w:jc w:val="both"/>
      </w:pPr>
      <w:r w:rsidRPr="00A4166B">
        <w:t xml:space="preserve">ODS Executive Pay and Executive Pay Policy </w:t>
      </w:r>
      <w:r w:rsidRPr="00A4166B">
        <w:rPr>
          <w:i/>
          <w:iCs/>
        </w:rPr>
        <w:t>(SJVG report)</w:t>
      </w:r>
    </w:p>
    <w:p w14:paraId="28A3DFBB" w14:textId="2C6A1840" w:rsidR="00894F5C" w:rsidRPr="00A4166B" w:rsidRDefault="00894F5C" w:rsidP="00894F5C">
      <w:pPr>
        <w:pStyle w:val="ListParagraph"/>
        <w:jc w:val="both"/>
      </w:pPr>
      <w:r w:rsidRPr="00A4166B">
        <w:t xml:space="preserve">The ODS Group Performance Report </w:t>
      </w:r>
      <w:r w:rsidRPr="00A4166B">
        <w:t>provided an end of year summary for the trading period 2023/24, including the expected timeframes for any declaration of dividend and an outline of progress on growing the commercial business (ODSTL).</w:t>
      </w:r>
      <w:r w:rsidRPr="00A4166B">
        <w:t xml:space="preserve"> </w:t>
      </w:r>
      <w:r w:rsidRPr="00A4166B">
        <w:t>Commercial confidentiality prevents the provision of a summary report.</w:t>
      </w:r>
      <w:r w:rsidRPr="00A4166B">
        <w:t xml:space="preserve"> </w:t>
      </w:r>
      <w:r w:rsidRPr="00A4166B">
        <w:t>Two recommendations were agreed, which were considered by SJVG in private on 02 September 2024.</w:t>
      </w:r>
    </w:p>
    <w:p w14:paraId="28859067" w14:textId="02F8C52C" w:rsidR="00894F5C" w:rsidRPr="00A4166B" w:rsidRDefault="00894F5C" w:rsidP="00894F5C">
      <w:pPr>
        <w:pStyle w:val="ListParagraph"/>
        <w:jc w:val="both"/>
      </w:pPr>
      <w:r w:rsidRPr="00A4166B">
        <w:t xml:space="preserve">The ODS Executive Pay and Executive Pay Policy report </w:t>
      </w:r>
      <w:r w:rsidRPr="00A4166B">
        <w:t>provided background information relating to the role of the ODS Remuneration Committee (</w:t>
      </w:r>
      <w:proofErr w:type="spellStart"/>
      <w:r w:rsidRPr="00A4166B">
        <w:t>RemCo</w:t>
      </w:r>
      <w:proofErr w:type="spellEnd"/>
      <w:r w:rsidRPr="00A4166B">
        <w:t>) and the recent BDO audit into Executive Pay and sought SJVG agreement for an Executive Team pay increase outside of the Executive Pay Policy to reduce the amount awarded from 6% to 3.4%.</w:t>
      </w:r>
      <w:r w:rsidRPr="00A4166B">
        <w:t xml:space="preserve"> </w:t>
      </w:r>
      <w:r w:rsidRPr="00A4166B">
        <w:t>Commercial confidentiality prevents the provision of a summary report. Two recommendations were agreed</w:t>
      </w:r>
      <w:r w:rsidRPr="00A4166B">
        <w:t>, which were considered by SJVG in private on 02 September 2024</w:t>
      </w:r>
      <w:r w:rsidRPr="00A4166B">
        <w:t>.</w:t>
      </w:r>
      <w:r w:rsidRPr="00A4166B">
        <w:t xml:space="preserve"> </w:t>
      </w:r>
    </w:p>
    <w:p w14:paraId="06FC1270" w14:textId="3340DCA4" w:rsidR="00894F5C" w:rsidRPr="00A4166B" w:rsidRDefault="00894F5C" w:rsidP="00894F5C">
      <w:pPr>
        <w:pStyle w:val="ListParagraph"/>
        <w:jc w:val="both"/>
      </w:pPr>
      <w:r w:rsidRPr="00A4166B">
        <w:t>At its meeting on 04 September 2024, the Panel considered three substantive items:</w:t>
      </w:r>
    </w:p>
    <w:p w14:paraId="4A6A2D79" w14:textId="6D087542" w:rsidR="00894F5C" w:rsidRPr="00A4166B" w:rsidRDefault="00894F5C" w:rsidP="00894F5C">
      <w:pPr>
        <w:pStyle w:val="ListParagraph"/>
        <w:numPr>
          <w:ilvl w:val="0"/>
          <w:numId w:val="24"/>
        </w:numPr>
        <w:jc w:val="both"/>
      </w:pPr>
      <w:r w:rsidRPr="00A4166B">
        <w:t xml:space="preserve">Council Strategy 2024-28 Key Performance Indicators </w:t>
      </w:r>
      <w:r w:rsidRPr="00A4166B">
        <w:rPr>
          <w:i/>
          <w:iCs/>
        </w:rPr>
        <w:t>(Cabinet report)</w:t>
      </w:r>
    </w:p>
    <w:p w14:paraId="7BCBB844" w14:textId="168E701E" w:rsidR="00894F5C" w:rsidRPr="00A4166B" w:rsidRDefault="00894F5C" w:rsidP="00894F5C">
      <w:pPr>
        <w:pStyle w:val="ListParagraph"/>
        <w:numPr>
          <w:ilvl w:val="0"/>
          <w:numId w:val="24"/>
        </w:numPr>
        <w:jc w:val="both"/>
      </w:pPr>
      <w:r w:rsidRPr="00A4166B">
        <w:t xml:space="preserve">Integrated Performance Report Q1 2024-25 </w:t>
      </w:r>
      <w:r w:rsidRPr="00A4166B">
        <w:rPr>
          <w:i/>
          <w:iCs/>
        </w:rPr>
        <w:t>(Cabinet report)</w:t>
      </w:r>
    </w:p>
    <w:p w14:paraId="6EC1D239" w14:textId="2A19356C" w:rsidR="00894F5C" w:rsidRPr="00A4166B" w:rsidRDefault="00894F5C" w:rsidP="00894F5C">
      <w:pPr>
        <w:pStyle w:val="ListParagraph"/>
        <w:numPr>
          <w:ilvl w:val="0"/>
          <w:numId w:val="24"/>
        </w:numPr>
        <w:jc w:val="both"/>
      </w:pPr>
      <w:r w:rsidRPr="00A4166B">
        <w:t xml:space="preserve">Treasury Management Annual Report 2023-24 </w:t>
      </w:r>
      <w:r w:rsidRPr="00A4166B">
        <w:rPr>
          <w:i/>
          <w:iCs/>
        </w:rPr>
        <w:t>(Cabinet report)</w:t>
      </w:r>
    </w:p>
    <w:p w14:paraId="78C68D9B" w14:textId="77138AEE" w:rsidR="00894F5C" w:rsidRPr="00A4166B" w:rsidRDefault="00471212" w:rsidP="00471212">
      <w:pPr>
        <w:pStyle w:val="ListParagraph"/>
        <w:jc w:val="both"/>
      </w:pPr>
      <w:r w:rsidRPr="00A4166B">
        <w:t xml:space="preserve">The </w:t>
      </w:r>
      <w:r w:rsidRPr="00A4166B">
        <w:t>Council Strategy 2024-28 Key Performance Indicators</w:t>
      </w:r>
      <w:r w:rsidRPr="00A4166B">
        <w:t xml:space="preserve"> report set out the proposed strategic key performance indicators (KPIs) linked to the Council Strategy 2024-28. The Panel asked a range of questions, including questions relating to measures which the Council had control versus influence over; the ongoing review of operational Key Performance Indicators; and whether the right measures had been selected as Key Performance Indicators. There were no recommendations.</w:t>
      </w:r>
    </w:p>
    <w:p w14:paraId="113FBB58" w14:textId="5B867868" w:rsidR="00471212" w:rsidRPr="00A4166B" w:rsidRDefault="00471212" w:rsidP="00471212">
      <w:pPr>
        <w:pStyle w:val="ListParagraph"/>
        <w:jc w:val="both"/>
      </w:pPr>
      <w:r w:rsidRPr="00A4166B">
        <w:t xml:space="preserve">The </w:t>
      </w:r>
      <w:r w:rsidRPr="00A4166B">
        <w:t>Integrated Performance Report Q1 2024-25</w:t>
      </w:r>
      <w:r w:rsidRPr="00A4166B">
        <w:t xml:space="preserve"> </w:t>
      </w:r>
      <w:r w:rsidRPr="00A4166B">
        <w:t xml:space="preserve">provided an update on finance, risk and corporate performance matters as </w:t>
      </w:r>
      <w:proofErr w:type="gramStart"/>
      <w:r w:rsidRPr="00A4166B">
        <w:t>at</w:t>
      </w:r>
      <w:proofErr w:type="gramEnd"/>
      <w:r w:rsidRPr="00A4166B">
        <w:t xml:space="preserve"> 30 June 2024.</w:t>
      </w:r>
      <w:r w:rsidRPr="00A4166B">
        <w:t xml:space="preserve"> The Panel </w:t>
      </w:r>
      <w:r w:rsidRPr="00A4166B">
        <w:t xml:space="preserve">asked a range of questions, including questions relating to temporary accommodation demand and mitigations; the overspend on responsive and cyclical repairs; and the housing </w:t>
      </w:r>
      <w:r w:rsidRPr="00A4166B">
        <w:lastRenderedPageBreak/>
        <w:t xml:space="preserve">benefit subsidy. </w:t>
      </w:r>
      <w:r w:rsidRPr="00A4166B">
        <w:t xml:space="preserve">One recommendation was agreed </w:t>
      </w:r>
      <w:r w:rsidRPr="00A4166B">
        <w:rPr>
          <w:i/>
          <w:iCs/>
        </w:rPr>
        <w:t>(see paragraphs 15 and 16 above)</w:t>
      </w:r>
      <w:r w:rsidRPr="00A4166B">
        <w:t>.</w:t>
      </w:r>
    </w:p>
    <w:p w14:paraId="153573EC" w14:textId="493A456E" w:rsidR="00471212" w:rsidRPr="00A4166B" w:rsidRDefault="00471212" w:rsidP="00471212">
      <w:pPr>
        <w:pStyle w:val="ListParagraph"/>
        <w:jc w:val="both"/>
      </w:pPr>
      <w:r w:rsidRPr="00A4166B">
        <w:t xml:space="preserve">The </w:t>
      </w:r>
      <w:r w:rsidRPr="00A4166B">
        <w:t>Treasury Management Annual Report 2023-24</w:t>
      </w:r>
      <w:r w:rsidRPr="00A4166B">
        <w:t xml:space="preserve"> </w:t>
      </w:r>
      <w:r w:rsidRPr="00A4166B">
        <w:t>set out the Council’s Treasury Management activity and performance for the financial year 2023-24.</w:t>
      </w:r>
      <w:r w:rsidRPr="00A4166B">
        <w:t xml:space="preserve"> </w:t>
      </w:r>
      <w:r w:rsidRPr="00A4166B">
        <w:t>The Panel asked a range of questions, including questions relating to benchmarking against other local authorities; management accounting of interest in relation to Council loans to Council-owned companies and Joint Ventures; and external debt</w:t>
      </w:r>
      <w:r w:rsidRPr="00A4166B">
        <w:t xml:space="preserve">. One recommendation was agreed </w:t>
      </w:r>
      <w:r w:rsidRPr="00A4166B">
        <w:rPr>
          <w:i/>
          <w:iCs/>
        </w:rPr>
        <w:t>(see paragraphs 15 and 16 above)</w:t>
      </w:r>
      <w:r w:rsidRPr="00A4166B">
        <w:t>.</w:t>
      </w:r>
    </w:p>
    <w:p w14:paraId="06F87CAB" w14:textId="77777777" w:rsidR="00AC65CF" w:rsidRPr="00A4166B" w:rsidRDefault="00AC65CF" w:rsidP="00AC65CF">
      <w:pPr>
        <w:jc w:val="both"/>
      </w:pPr>
    </w:p>
    <w:p w14:paraId="3E37CF52" w14:textId="77777777" w:rsidR="0011544E" w:rsidRPr="00A4166B" w:rsidRDefault="0011544E" w:rsidP="0011544E">
      <w:pPr>
        <w:spacing w:after="240"/>
        <w:rPr>
          <w:b/>
        </w:rPr>
      </w:pPr>
      <w:r w:rsidRPr="00A4166B">
        <w:rPr>
          <w:b/>
        </w:rPr>
        <w:t>Climate and Environment Panel</w:t>
      </w:r>
    </w:p>
    <w:p w14:paraId="7CDE2A0A" w14:textId="18C1790B" w:rsidR="0011544E" w:rsidRPr="00A4166B" w:rsidRDefault="0011544E" w:rsidP="00355283">
      <w:pPr>
        <w:pStyle w:val="ListParagraph"/>
        <w:jc w:val="both"/>
      </w:pPr>
      <w:r w:rsidRPr="00A4166B">
        <w:t xml:space="preserve">The Climate and Environment Panel </w:t>
      </w:r>
      <w:r w:rsidR="000C6E00" w:rsidRPr="00A4166B">
        <w:t xml:space="preserve">met </w:t>
      </w:r>
      <w:r w:rsidR="00147932" w:rsidRPr="00A4166B">
        <w:t>once</w:t>
      </w:r>
      <w:r w:rsidRPr="00A4166B">
        <w:t xml:space="preserve"> during this reporting period</w:t>
      </w:r>
      <w:r w:rsidR="000C6E00" w:rsidRPr="00A4166B">
        <w:t xml:space="preserve">, on </w:t>
      </w:r>
      <w:r w:rsidR="00147932" w:rsidRPr="00A4166B">
        <w:t>10 September 2024.</w:t>
      </w:r>
    </w:p>
    <w:p w14:paraId="26EDA489" w14:textId="33C13B20" w:rsidR="000C6E00" w:rsidRPr="00A4166B" w:rsidRDefault="000C6E00" w:rsidP="00355283">
      <w:pPr>
        <w:pStyle w:val="ListParagraph"/>
        <w:spacing w:before="240"/>
        <w:jc w:val="both"/>
      </w:pPr>
      <w:r w:rsidRPr="00A4166B">
        <w:t xml:space="preserve">At its meeting on </w:t>
      </w:r>
      <w:r w:rsidR="00471212" w:rsidRPr="00A4166B">
        <w:t>10 September</w:t>
      </w:r>
      <w:r w:rsidR="009F45CA" w:rsidRPr="00A4166B">
        <w:t xml:space="preserve"> 2024</w:t>
      </w:r>
      <w:r w:rsidRPr="00A4166B">
        <w:t xml:space="preserve">, the Panel considered </w:t>
      </w:r>
      <w:r w:rsidR="00471212" w:rsidRPr="00A4166B">
        <w:t>four</w:t>
      </w:r>
      <w:r w:rsidRPr="00A4166B">
        <w:t xml:space="preserve"> substantive </w:t>
      </w:r>
      <w:r w:rsidR="009F45CA" w:rsidRPr="00A4166B">
        <w:t>items</w:t>
      </w:r>
      <w:r w:rsidRPr="00A4166B">
        <w:t>:</w:t>
      </w:r>
    </w:p>
    <w:p w14:paraId="6B917370" w14:textId="206E7B65" w:rsidR="00C423C7" w:rsidRPr="00A4166B" w:rsidRDefault="00471212" w:rsidP="000C6E00">
      <w:pPr>
        <w:pStyle w:val="ListParagraph"/>
        <w:numPr>
          <w:ilvl w:val="0"/>
          <w:numId w:val="11"/>
        </w:numPr>
      </w:pPr>
      <w:r w:rsidRPr="00A4166B">
        <w:t>Net Zero Masterplan</w:t>
      </w:r>
    </w:p>
    <w:p w14:paraId="06F443EE" w14:textId="422F7ED3" w:rsidR="00446816" w:rsidRPr="00A4166B" w:rsidRDefault="00471212" w:rsidP="000C6E00">
      <w:pPr>
        <w:pStyle w:val="ListParagraph"/>
        <w:numPr>
          <w:ilvl w:val="0"/>
          <w:numId w:val="11"/>
        </w:numPr>
      </w:pPr>
      <w:r w:rsidRPr="00A4166B">
        <w:t>Annual Air Quality Status Report</w:t>
      </w:r>
    </w:p>
    <w:p w14:paraId="7CEE0132" w14:textId="77777777" w:rsidR="00471212" w:rsidRPr="00A4166B" w:rsidRDefault="00471212" w:rsidP="00471212">
      <w:pPr>
        <w:pStyle w:val="ListParagraph"/>
        <w:numPr>
          <w:ilvl w:val="0"/>
          <w:numId w:val="11"/>
        </w:numPr>
        <w:jc w:val="both"/>
      </w:pPr>
      <w:r w:rsidRPr="00A4166B">
        <w:t xml:space="preserve">Local Area Energy Planning and Mitigation Measures Regarding Local Grid Constraints [presentation] </w:t>
      </w:r>
    </w:p>
    <w:p w14:paraId="076841E2" w14:textId="43C98762" w:rsidR="00471212" w:rsidRPr="00A4166B" w:rsidRDefault="00471212" w:rsidP="00471212">
      <w:pPr>
        <w:pStyle w:val="ListParagraph"/>
        <w:numPr>
          <w:ilvl w:val="0"/>
          <w:numId w:val="11"/>
        </w:numPr>
        <w:jc w:val="both"/>
      </w:pPr>
      <w:r w:rsidRPr="00A4166B">
        <w:t>Zero Carbon Oxford Partnership (ZCOP) Expansion</w:t>
      </w:r>
    </w:p>
    <w:p w14:paraId="5B16A936" w14:textId="44B52F67" w:rsidR="00471212" w:rsidRPr="00A4166B" w:rsidRDefault="000C6E00" w:rsidP="009A4882">
      <w:pPr>
        <w:pStyle w:val="ListParagraph"/>
        <w:jc w:val="both"/>
      </w:pPr>
      <w:r w:rsidRPr="00A4166B">
        <w:t xml:space="preserve">The </w:t>
      </w:r>
      <w:r w:rsidR="00471212" w:rsidRPr="00A4166B">
        <w:t xml:space="preserve">Net Zero Masterplan </w:t>
      </w:r>
      <w:r w:rsidR="00471212" w:rsidRPr="00A4166B">
        <w:t>set out Oxford City Council’s actions over the next two years to achieve its two carbon targets: a Net Zero Estate and Operations by 2030 and a Net Zero City by 2040.</w:t>
      </w:r>
      <w:r w:rsidR="00471212" w:rsidRPr="00A4166B">
        <w:t xml:space="preserve"> The Panel asked a range of questions relating to the actions included on the Net Zero Masterplan. There were no recommendations.</w:t>
      </w:r>
    </w:p>
    <w:p w14:paraId="5AAF15E0" w14:textId="0FBE8C6B" w:rsidR="000C6E00" w:rsidRPr="00A4166B" w:rsidRDefault="00471212" w:rsidP="00A4166B">
      <w:pPr>
        <w:pStyle w:val="ListParagraph"/>
        <w:jc w:val="both"/>
      </w:pPr>
      <w:r w:rsidRPr="00A4166B">
        <w:t xml:space="preserve">The Annual Air Quality Status Report </w:t>
      </w:r>
      <w:r w:rsidR="00A4166B" w:rsidRPr="00A4166B">
        <w:t>provided an update on air quality in Oxford in the past year.</w:t>
      </w:r>
      <w:r w:rsidR="00A4166B" w:rsidRPr="00A4166B">
        <w:t xml:space="preserve"> </w:t>
      </w:r>
      <w:r w:rsidR="00A4166B" w:rsidRPr="00A4166B">
        <w:t xml:space="preserve">The Panel asked a range of questions, including questions relating to the anticipated impact on air quality of the reopening of Botley Road; site-specific air quality action plans; </w:t>
      </w:r>
      <w:proofErr w:type="gramStart"/>
      <w:r w:rsidR="00A4166B" w:rsidRPr="00A4166B">
        <w:t>future plans</w:t>
      </w:r>
      <w:proofErr w:type="gramEnd"/>
      <w:r w:rsidR="00A4166B" w:rsidRPr="00A4166B">
        <w:t xml:space="preserve"> for communications campaigns; monitoring and reporting on air quality; Central Government funding; and emissions breakdowns. </w:t>
      </w:r>
      <w:r w:rsidR="00A4166B" w:rsidRPr="00A4166B">
        <w:t>Four recommendations were agreed, which will be submitted to Cabinet in October 2024.</w:t>
      </w:r>
    </w:p>
    <w:p w14:paraId="03DC9806" w14:textId="3582E1F6" w:rsidR="00A4166B" w:rsidRPr="00A4166B" w:rsidRDefault="00523B49" w:rsidP="00484E48">
      <w:pPr>
        <w:pStyle w:val="ListParagraph"/>
        <w:jc w:val="both"/>
      </w:pPr>
      <w:r w:rsidRPr="00A4166B">
        <w:t xml:space="preserve">The </w:t>
      </w:r>
      <w:r w:rsidR="00A4166B" w:rsidRPr="00A4166B">
        <w:t xml:space="preserve">Local Area Energy Planning and Mitigation Measures Regarding Local Grid Constraints </w:t>
      </w:r>
      <w:r w:rsidRPr="00A4166B">
        <w:t>presentation</w:t>
      </w:r>
      <w:r w:rsidR="009D24A7" w:rsidRPr="00A4166B">
        <w:t xml:space="preserve"> set out an overview of</w:t>
      </w:r>
      <w:r w:rsidR="00A4166B" w:rsidRPr="00A4166B">
        <w:t xml:space="preserve"> local area energy planning and mitigation measures regarding local grid constraint</w:t>
      </w:r>
      <w:r w:rsidR="00A4166B" w:rsidRPr="00A4166B">
        <w:t>s. The Panel received the presentation followed by an opportunity for discussion. There were no recommendations.</w:t>
      </w:r>
    </w:p>
    <w:p w14:paraId="486A22AF" w14:textId="7411EBD4" w:rsidR="00C423C7" w:rsidRPr="00A4166B" w:rsidRDefault="00D8502E" w:rsidP="00A4166B">
      <w:pPr>
        <w:pStyle w:val="ListParagraph"/>
        <w:jc w:val="both"/>
      </w:pPr>
      <w:r w:rsidRPr="00A4166B">
        <w:t xml:space="preserve">The </w:t>
      </w:r>
      <w:r w:rsidR="00A4166B" w:rsidRPr="00A4166B">
        <w:t xml:space="preserve">ZCOP Expansion report </w:t>
      </w:r>
      <w:r w:rsidR="00A4166B" w:rsidRPr="00A4166B">
        <w:t>set out the work of the ZCOP and ambition of its corporate members to expand focus from a City to an Oxfordshire scale.</w:t>
      </w:r>
      <w:r w:rsidR="00A4166B" w:rsidRPr="00A4166B">
        <w:t xml:space="preserve"> </w:t>
      </w:r>
      <w:r w:rsidR="00A4166B" w:rsidRPr="00A4166B">
        <w:t>The Panel asked a range of questions, including questions relating to the goals of other local authorities and members of ZCOP; ensuring that ZCOP membership had representation from the most significant carbon contributors in Oxfordshire; ZCOP membership of organisations outside of Oxfordshire; and ZCOP engagement levels in different sectors.</w:t>
      </w:r>
      <w:r w:rsidR="00A4166B" w:rsidRPr="00A4166B">
        <w:t xml:space="preserve"> One</w:t>
      </w:r>
      <w:r w:rsidR="00A4166B" w:rsidRPr="00A4166B">
        <w:t xml:space="preserve"> recommendation </w:t>
      </w:r>
      <w:r w:rsidR="00A4166B" w:rsidRPr="00A4166B">
        <w:t>was</w:t>
      </w:r>
      <w:r w:rsidR="00A4166B" w:rsidRPr="00A4166B">
        <w:t xml:space="preserve"> agreed, which will be submitted to Cabinet in October 2024.</w:t>
      </w:r>
    </w:p>
    <w:p w14:paraId="704BF75D" w14:textId="7CA226EA" w:rsidR="00741C7E" w:rsidRPr="001C2297" w:rsidRDefault="00741C7E" w:rsidP="00A4166B">
      <w:pPr>
        <w:pStyle w:val="ListParagraph"/>
        <w:numPr>
          <w:ilvl w:val="0"/>
          <w:numId w:val="0"/>
        </w:numPr>
        <w:ind w:left="1080"/>
        <w:jc w:val="both"/>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FF6C09" w:rsidRPr="001356F1" w14:paraId="6648CED3" w14:textId="77777777" w:rsidTr="00BF6032">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2D5DAAB0" w14:textId="77777777" w:rsidR="00FF6C09" w:rsidRPr="001356F1" w:rsidRDefault="00FF6C09" w:rsidP="00BF6032">
            <w:pPr>
              <w:rPr>
                <w:b/>
              </w:rPr>
            </w:pPr>
            <w:r w:rsidRPr="001356F1">
              <w:rPr>
                <w:b/>
              </w:rPr>
              <w:lastRenderedPageBreak/>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7D69FE2C" w14:textId="4D31CE96" w:rsidR="00FF6C09" w:rsidRPr="001356F1" w:rsidRDefault="0011544E" w:rsidP="00BF6032">
            <w:r>
              <w:t>Alice Courtney</w:t>
            </w:r>
          </w:p>
        </w:tc>
      </w:tr>
      <w:tr w:rsidR="00FF6C09" w:rsidRPr="001356F1" w14:paraId="5D2FACC0" w14:textId="77777777" w:rsidTr="00BF6032">
        <w:trPr>
          <w:cantSplit/>
          <w:trHeight w:val="396"/>
        </w:trPr>
        <w:tc>
          <w:tcPr>
            <w:tcW w:w="3969" w:type="dxa"/>
            <w:tcBorders>
              <w:top w:val="single" w:sz="8" w:space="0" w:color="000000"/>
              <w:left w:val="single" w:sz="8" w:space="0" w:color="000000"/>
              <w:bottom w:val="nil"/>
              <w:right w:val="nil"/>
            </w:tcBorders>
            <w:shd w:val="clear" w:color="auto" w:fill="auto"/>
          </w:tcPr>
          <w:p w14:paraId="123363C6" w14:textId="77777777" w:rsidR="00FF6C09" w:rsidRPr="001356F1" w:rsidRDefault="00FF6C09" w:rsidP="00BF6032">
            <w:r w:rsidRPr="001356F1">
              <w:t>Job title</w:t>
            </w:r>
          </w:p>
        </w:tc>
        <w:tc>
          <w:tcPr>
            <w:tcW w:w="4962" w:type="dxa"/>
            <w:tcBorders>
              <w:top w:val="single" w:sz="8" w:space="0" w:color="000000"/>
              <w:left w:val="nil"/>
              <w:bottom w:val="nil"/>
              <w:right w:val="single" w:sz="8" w:space="0" w:color="000000"/>
            </w:tcBorders>
            <w:shd w:val="clear" w:color="auto" w:fill="auto"/>
          </w:tcPr>
          <w:p w14:paraId="588764B7" w14:textId="77777777" w:rsidR="00FF6C09" w:rsidRPr="001356F1" w:rsidRDefault="001F55F5" w:rsidP="00BF6032">
            <w:r>
              <w:t>Scrutiny Officer</w:t>
            </w:r>
          </w:p>
        </w:tc>
      </w:tr>
      <w:tr w:rsidR="00FF6C09" w:rsidRPr="001356F1" w14:paraId="0D966116" w14:textId="77777777" w:rsidTr="00BF6032">
        <w:trPr>
          <w:cantSplit/>
          <w:trHeight w:val="396"/>
        </w:trPr>
        <w:tc>
          <w:tcPr>
            <w:tcW w:w="3969" w:type="dxa"/>
            <w:tcBorders>
              <w:top w:val="nil"/>
              <w:left w:val="single" w:sz="8" w:space="0" w:color="000000"/>
              <w:bottom w:val="nil"/>
              <w:right w:val="nil"/>
            </w:tcBorders>
            <w:shd w:val="clear" w:color="auto" w:fill="auto"/>
          </w:tcPr>
          <w:p w14:paraId="09032DA7" w14:textId="77777777" w:rsidR="00FF6C09" w:rsidRPr="001356F1" w:rsidRDefault="00FF6C09" w:rsidP="00BF6032">
            <w:r w:rsidRPr="001356F1">
              <w:t>Service area or department</w:t>
            </w:r>
          </w:p>
        </w:tc>
        <w:tc>
          <w:tcPr>
            <w:tcW w:w="4962" w:type="dxa"/>
            <w:tcBorders>
              <w:top w:val="nil"/>
              <w:left w:val="nil"/>
              <w:bottom w:val="nil"/>
              <w:right w:val="single" w:sz="8" w:space="0" w:color="000000"/>
            </w:tcBorders>
            <w:shd w:val="clear" w:color="auto" w:fill="auto"/>
          </w:tcPr>
          <w:p w14:paraId="59FB025C" w14:textId="77777777" w:rsidR="00FF6C09" w:rsidRPr="001356F1" w:rsidRDefault="00FF6C09" w:rsidP="00BF6032">
            <w:r>
              <w:t>Law and Governance</w:t>
            </w:r>
          </w:p>
        </w:tc>
      </w:tr>
      <w:tr w:rsidR="00FF6C09" w:rsidRPr="001356F1" w14:paraId="3D666040" w14:textId="77777777" w:rsidTr="00691B1E">
        <w:trPr>
          <w:cantSplit/>
          <w:trHeight w:val="396"/>
        </w:trPr>
        <w:tc>
          <w:tcPr>
            <w:tcW w:w="3969" w:type="dxa"/>
            <w:tcBorders>
              <w:top w:val="nil"/>
              <w:left w:val="single" w:sz="8" w:space="0" w:color="000000"/>
              <w:bottom w:val="nil"/>
              <w:right w:val="nil"/>
            </w:tcBorders>
            <w:shd w:val="clear" w:color="auto" w:fill="auto"/>
          </w:tcPr>
          <w:p w14:paraId="5D173E6A" w14:textId="77777777" w:rsidR="00FF6C09" w:rsidRPr="001356F1" w:rsidRDefault="00FF6C09" w:rsidP="00BF6032">
            <w:r w:rsidRPr="001356F1">
              <w:t xml:space="preserve">Telephone </w:t>
            </w:r>
          </w:p>
        </w:tc>
        <w:tc>
          <w:tcPr>
            <w:tcW w:w="4962" w:type="dxa"/>
            <w:tcBorders>
              <w:top w:val="nil"/>
              <w:left w:val="nil"/>
              <w:bottom w:val="nil"/>
              <w:right w:val="single" w:sz="8" w:space="0" w:color="000000"/>
            </w:tcBorders>
            <w:shd w:val="clear" w:color="auto" w:fill="auto"/>
          </w:tcPr>
          <w:p w14:paraId="5FC255E7" w14:textId="1E83B226" w:rsidR="00FF6C09" w:rsidRPr="001356F1" w:rsidRDefault="0011544E" w:rsidP="00BF6032">
            <w:r>
              <w:t>01865 529834</w:t>
            </w:r>
          </w:p>
        </w:tc>
      </w:tr>
      <w:tr w:rsidR="00FF6C09" w:rsidRPr="001356F1" w14:paraId="0839DBAB" w14:textId="77777777" w:rsidTr="00691B1E">
        <w:trPr>
          <w:cantSplit/>
          <w:trHeight w:val="396"/>
        </w:trPr>
        <w:tc>
          <w:tcPr>
            <w:tcW w:w="3969" w:type="dxa"/>
            <w:tcBorders>
              <w:top w:val="nil"/>
              <w:left w:val="single" w:sz="8" w:space="0" w:color="000000"/>
              <w:bottom w:val="single" w:sz="4" w:space="0" w:color="auto"/>
              <w:right w:val="nil"/>
            </w:tcBorders>
            <w:shd w:val="clear" w:color="auto" w:fill="auto"/>
          </w:tcPr>
          <w:p w14:paraId="1B874F38" w14:textId="77777777" w:rsidR="00FF6C09" w:rsidRPr="001356F1" w:rsidRDefault="00FF6C09" w:rsidP="00BF6032">
            <w:r w:rsidRPr="001356F1">
              <w:t xml:space="preserve">e-mail </w:t>
            </w:r>
          </w:p>
        </w:tc>
        <w:tc>
          <w:tcPr>
            <w:tcW w:w="4962" w:type="dxa"/>
            <w:tcBorders>
              <w:top w:val="nil"/>
              <w:left w:val="nil"/>
              <w:bottom w:val="single" w:sz="8" w:space="0" w:color="000000"/>
              <w:right w:val="single" w:sz="8" w:space="0" w:color="000000"/>
            </w:tcBorders>
            <w:shd w:val="clear" w:color="auto" w:fill="auto"/>
          </w:tcPr>
          <w:p w14:paraId="30F6D443" w14:textId="1A8C5D08" w:rsidR="00FF6C09" w:rsidRPr="001356F1" w:rsidRDefault="0011544E" w:rsidP="00BF6032">
            <w:pPr>
              <w:rPr>
                <w:rStyle w:val="Hyperlink"/>
                <w:color w:val="000000"/>
              </w:rPr>
            </w:pPr>
            <w:r>
              <w:rPr>
                <w:rStyle w:val="Hyperlink"/>
              </w:rPr>
              <w:t>acourtney</w:t>
            </w:r>
            <w:r w:rsidR="001F55F5">
              <w:rPr>
                <w:rStyle w:val="Hyperlink"/>
              </w:rPr>
              <w:t>@oxford.gov.uk</w:t>
            </w:r>
            <w:r w:rsidR="00FF6C09">
              <w:rPr>
                <w:rStyle w:val="Hyperlink"/>
                <w:color w:val="000000"/>
              </w:rPr>
              <w:t xml:space="preserve"> </w:t>
            </w:r>
          </w:p>
        </w:tc>
      </w:tr>
    </w:tbl>
    <w:p w14:paraId="2EACF3FB" w14:textId="77777777" w:rsidR="005F1066" w:rsidRDefault="005F1066" w:rsidP="005F1066"/>
    <w:p w14:paraId="3C18BB40" w14:textId="77777777" w:rsidR="00790954" w:rsidRPr="005E11A5" w:rsidRDefault="00790954" w:rsidP="005E11A5">
      <w:pPr>
        <w:tabs>
          <w:tab w:val="left" w:pos="5505"/>
        </w:tabs>
        <w:rPr>
          <w:color w:val="FF0000"/>
        </w:rPr>
      </w:pPr>
    </w:p>
    <w:sectPr w:rsidR="00790954" w:rsidRPr="005E11A5" w:rsidSect="00BD592E">
      <w:headerReference w:type="default" r:id="rId9"/>
      <w:pgSz w:w="11906" w:h="16838"/>
      <w:pgMar w:top="1304" w:right="1304" w:bottom="1304" w:left="1304" w:header="709" w:footer="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1E343" w14:textId="77777777" w:rsidR="00EF4F4C" w:rsidRDefault="00EF4F4C">
      <w:r>
        <w:separator/>
      </w:r>
    </w:p>
  </w:endnote>
  <w:endnote w:type="continuationSeparator" w:id="0">
    <w:p w14:paraId="6E45D927" w14:textId="77777777" w:rsidR="00EF4F4C" w:rsidRDefault="00EF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48A00" w14:textId="77777777" w:rsidR="00EF4F4C" w:rsidRDefault="00EF4F4C">
      <w:r>
        <w:separator/>
      </w:r>
    </w:p>
  </w:footnote>
  <w:footnote w:type="continuationSeparator" w:id="0">
    <w:p w14:paraId="01052FAD" w14:textId="77777777" w:rsidR="00EF4F4C" w:rsidRDefault="00EF4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18EB" w14:textId="77777777" w:rsidR="00E754DA" w:rsidRDefault="00E754DA" w:rsidP="00E754D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54C95"/>
    <w:multiLevelType w:val="hybridMultilevel"/>
    <w:tmpl w:val="C560AC1A"/>
    <w:lvl w:ilvl="0" w:tplc="0DF23E40">
      <w:start w:val="1"/>
      <w:numFmt w:val="decimal"/>
      <w:pStyle w:val="ListParagraph"/>
      <w:lvlText w:val="%1."/>
      <w:lvlJc w:val="left"/>
      <w:pPr>
        <w:ind w:left="502" w:hanging="360"/>
      </w:pPr>
      <w:rPr>
        <w:rFonts w:hint="default"/>
        <w:i w:val="0"/>
        <w:color w:val="auto"/>
        <w:sz w:val="24"/>
        <w:szCs w:val="24"/>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437259"/>
    <w:multiLevelType w:val="hybridMultilevel"/>
    <w:tmpl w:val="16FC3F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7061138"/>
    <w:multiLevelType w:val="hybridMultilevel"/>
    <w:tmpl w:val="A9D0140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87B0A8B"/>
    <w:multiLevelType w:val="hybridMultilevel"/>
    <w:tmpl w:val="44946C5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B7A662E"/>
    <w:multiLevelType w:val="hybridMultilevel"/>
    <w:tmpl w:val="7CB22E8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22C58CC"/>
    <w:multiLevelType w:val="hybridMultilevel"/>
    <w:tmpl w:val="9FC278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2ED3842"/>
    <w:multiLevelType w:val="hybridMultilevel"/>
    <w:tmpl w:val="12EEA03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6986EAF"/>
    <w:multiLevelType w:val="hybridMultilevel"/>
    <w:tmpl w:val="A700510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E63640D"/>
    <w:multiLevelType w:val="hybridMultilevel"/>
    <w:tmpl w:val="3248751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1E805BF2"/>
    <w:multiLevelType w:val="hybridMultilevel"/>
    <w:tmpl w:val="27AA1BD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8297053"/>
    <w:multiLevelType w:val="hybridMultilevel"/>
    <w:tmpl w:val="D2D6F3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D522CD5"/>
    <w:multiLevelType w:val="hybridMultilevel"/>
    <w:tmpl w:val="3E9C458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4287E8D"/>
    <w:multiLevelType w:val="hybridMultilevel"/>
    <w:tmpl w:val="89EED83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C510390"/>
    <w:multiLevelType w:val="hybridMultilevel"/>
    <w:tmpl w:val="A86CCBE6"/>
    <w:lvl w:ilvl="0" w:tplc="F508B4A0">
      <w:start w:val="1"/>
      <w:numFmt w:val="bullet"/>
      <w:pStyle w:val="Bullets"/>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564C6FFC"/>
    <w:multiLevelType w:val="hybridMultilevel"/>
    <w:tmpl w:val="F1E2085A"/>
    <w:lvl w:ilvl="0" w:tplc="97FAC594">
      <w:start w:val="1"/>
      <w:numFmt w:val="decimal"/>
      <w:lvlText w:val="%1."/>
      <w:lvlJc w:val="left"/>
      <w:pPr>
        <w:ind w:left="360" w:hanging="360"/>
      </w:pPr>
      <w:rPr>
        <w:rFonts w:ascii="Arial" w:hAnsi="Arial" w:cs="Times New Roman" w:hint="default"/>
        <w:b w:val="0"/>
        <w:i w:val="0"/>
        <w:color w:val="000000"/>
      </w:rPr>
    </w:lvl>
    <w:lvl w:ilvl="1" w:tplc="08090001">
      <w:start w:val="1"/>
      <w:numFmt w:val="bullet"/>
      <w:lvlText w:val=""/>
      <w:lvlJc w:val="left"/>
      <w:pPr>
        <w:ind w:left="1364" w:hanging="360"/>
      </w:pPr>
      <w:rPr>
        <w:rFonts w:ascii="Symbol" w:hAnsi="Symbol"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6D5F31AA"/>
    <w:multiLevelType w:val="hybridMultilevel"/>
    <w:tmpl w:val="B9D241A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764D4885"/>
    <w:multiLevelType w:val="hybridMultilevel"/>
    <w:tmpl w:val="1DF0D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A94EA3"/>
    <w:multiLevelType w:val="hybridMultilevel"/>
    <w:tmpl w:val="F91A110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98365C6"/>
    <w:multiLevelType w:val="multilevel"/>
    <w:tmpl w:val="E67CE66C"/>
    <w:numStyleLink w:val="StyleNumberedLeft0cmHanging075cm"/>
  </w:abstractNum>
  <w:abstractNum w:abstractNumId="20" w15:restartNumberingAfterBreak="0">
    <w:nsid w:val="7A5F6CA9"/>
    <w:multiLevelType w:val="hybridMultilevel"/>
    <w:tmpl w:val="A0E4B91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7F7F70BD"/>
    <w:multiLevelType w:val="hybridMultilevel"/>
    <w:tmpl w:val="CD7CAEE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654749534">
    <w:abstractNumId w:val="1"/>
  </w:num>
  <w:num w:numId="2" w16cid:durableId="772821767">
    <w:abstractNumId w:val="0"/>
  </w:num>
  <w:num w:numId="3" w16cid:durableId="838665462">
    <w:abstractNumId w:val="14"/>
  </w:num>
  <w:num w:numId="4" w16cid:durableId="2107536337">
    <w:abstractNumId w:val="8"/>
  </w:num>
  <w:num w:numId="5" w16cid:durableId="230509923">
    <w:abstractNumId w:val="13"/>
  </w:num>
  <w:num w:numId="6" w16cid:durableId="1241714081">
    <w:abstractNumId w:val="4"/>
  </w:num>
  <w:num w:numId="7" w16cid:durableId="968508647">
    <w:abstractNumId w:val="2"/>
  </w:num>
  <w:num w:numId="8" w16cid:durableId="1681156029">
    <w:abstractNumId w:val="19"/>
    <w:lvlOverride w:ilvl="0">
      <w:lvl w:ilvl="0">
        <w:start w:val="1"/>
        <w:numFmt w:val="decimal"/>
        <w:lvlText w:val="%1."/>
        <w:lvlJc w:val="left"/>
        <w:pPr>
          <w:ind w:left="360" w:hanging="360"/>
        </w:pPr>
        <w:rPr>
          <w:rFonts w:ascii="Arial" w:hAnsi="Arial"/>
          <w:b w:val="0"/>
          <w:color w:val="000000"/>
          <w:sz w:val="24"/>
        </w:rPr>
      </w:lvl>
    </w:lvlOverride>
  </w:num>
  <w:num w:numId="9" w16cid:durableId="1843084946">
    <w:abstractNumId w:val="17"/>
  </w:num>
  <w:num w:numId="10" w16cid:durableId="1541674319">
    <w:abstractNumId w:val="1"/>
    <w:lvlOverride w:ilvl="0">
      <w:startOverride w:val="20"/>
    </w:lvlOverride>
  </w:num>
  <w:num w:numId="11" w16cid:durableId="1921327228">
    <w:abstractNumId w:val="21"/>
  </w:num>
  <w:num w:numId="12" w16cid:durableId="2052880419">
    <w:abstractNumId w:val="15"/>
  </w:num>
  <w:num w:numId="13" w16cid:durableId="1094396800">
    <w:abstractNumId w:val="18"/>
  </w:num>
  <w:num w:numId="14" w16cid:durableId="2071885082">
    <w:abstractNumId w:val="11"/>
  </w:num>
  <w:num w:numId="15" w16cid:durableId="1244072830">
    <w:abstractNumId w:val="3"/>
  </w:num>
  <w:num w:numId="16" w16cid:durableId="1690259013">
    <w:abstractNumId w:val="16"/>
  </w:num>
  <w:num w:numId="17" w16cid:durableId="1635794348">
    <w:abstractNumId w:val="12"/>
  </w:num>
  <w:num w:numId="18" w16cid:durableId="1577670518">
    <w:abstractNumId w:val="5"/>
  </w:num>
  <w:num w:numId="19" w16cid:durableId="116416381">
    <w:abstractNumId w:val="6"/>
  </w:num>
  <w:num w:numId="20" w16cid:durableId="446778778">
    <w:abstractNumId w:val="19"/>
  </w:num>
  <w:num w:numId="21" w16cid:durableId="1487162663">
    <w:abstractNumId w:val="9"/>
  </w:num>
  <w:num w:numId="22" w16cid:durableId="734545014">
    <w:abstractNumId w:val="7"/>
  </w:num>
  <w:num w:numId="23" w16cid:durableId="988636479">
    <w:abstractNumId w:val="20"/>
  </w:num>
  <w:num w:numId="24" w16cid:durableId="107879393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292"/>
    <w:rsid w:val="00007EC6"/>
    <w:rsid w:val="00010B45"/>
    <w:rsid w:val="00010E12"/>
    <w:rsid w:val="000112C0"/>
    <w:rsid w:val="000133A8"/>
    <w:rsid w:val="000148A2"/>
    <w:rsid w:val="00015E7B"/>
    <w:rsid w:val="00016094"/>
    <w:rsid w:val="0002190C"/>
    <w:rsid w:val="000220C5"/>
    <w:rsid w:val="000253E5"/>
    <w:rsid w:val="00027049"/>
    <w:rsid w:val="00027B31"/>
    <w:rsid w:val="000310CF"/>
    <w:rsid w:val="00031544"/>
    <w:rsid w:val="00033DBB"/>
    <w:rsid w:val="00043470"/>
    <w:rsid w:val="00043959"/>
    <w:rsid w:val="00044A4E"/>
    <w:rsid w:val="00046648"/>
    <w:rsid w:val="00047699"/>
    <w:rsid w:val="00050063"/>
    <w:rsid w:val="00052B90"/>
    <w:rsid w:val="00056225"/>
    <w:rsid w:val="00056263"/>
    <w:rsid w:val="000563CE"/>
    <w:rsid w:val="0005670C"/>
    <w:rsid w:val="00060B42"/>
    <w:rsid w:val="00060F22"/>
    <w:rsid w:val="00061875"/>
    <w:rsid w:val="000634CB"/>
    <w:rsid w:val="000640E0"/>
    <w:rsid w:val="00065A7A"/>
    <w:rsid w:val="00067227"/>
    <w:rsid w:val="00070D18"/>
    <w:rsid w:val="00070E1B"/>
    <w:rsid w:val="00072C0A"/>
    <w:rsid w:val="00072E70"/>
    <w:rsid w:val="000732F7"/>
    <w:rsid w:val="000746AE"/>
    <w:rsid w:val="00074870"/>
    <w:rsid w:val="00076D40"/>
    <w:rsid w:val="00077091"/>
    <w:rsid w:val="0008681C"/>
    <w:rsid w:val="00086AA7"/>
    <w:rsid w:val="000914E2"/>
    <w:rsid w:val="00091ECB"/>
    <w:rsid w:val="00092472"/>
    <w:rsid w:val="00095801"/>
    <w:rsid w:val="000A22E1"/>
    <w:rsid w:val="000A589D"/>
    <w:rsid w:val="000A6E37"/>
    <w:rsid w:val="000B08DC"/>
    <w:rsid w:val="000B606B"/>
    <w:rsid w:val="000B6181"/>
    <w:rsid w:val="000B6E64"/>
    <w:rsid w:val="000B7282"/>
    <w:rsid w:val="000B762E"/>
    <w:rsid w:val="000C0E0F"/>
    <w:rsid w:val="000C0F3F"/>
    <w:rsid w:val="000C16F7"/>
    <w:rsid w:val="000C2BF3"/>
    <w:rsid w:val="000C3928"/>
    <w:rsid w:val="000C6872"/>
    <w:rsid w:val="000C6E00"/>
    <w:rsid w:val="000C75D1"/>
    <w:rsid w:val="000C7AB7"/>
    <w:rsid w:val="000D032F"/>
    <w:rsid w:val="000D17E6"/>
    <w:rsid w:val="000D51D4"/>
    <w:rsid w:val="000E3C15"/>
    <w:rsid w:val="000E50BB"/>
    <w:rsid w:val="000F15A2"/>
    <w:rsid w:val="000F2D3E"/>
    <w:rsid w:val="000F7236"/>
    <w:rsid w:val="00100AA1"/>
    <w:rsid w:val="00100E1D"/>
    <w:rsid w:val="001051F4"/>
    <w:rsid w:val="00105503"/>
    <w:rsid w:val="00106AE4"/>
    <w:rsid w:val="00107729"/>
    <w:rsid w:val="00111D62"/>
    <w:rsid w:val="00113230"/>
    <w:rsid w:val="001146E3"/>
    <w:rsid w:val="0011544E"/>
    <w:rsid w:val="00116EDD"/>
    <w:rsid w:val="00117F04"/>
    <w:rsid w:val="001214AC"/>
    <w:rsid w:val="001217F4"/>
    <w:rsid w:val="001223CC"/>
    <w:rsid w:val="00122734"/>
    <w:rsid w:val="00123DD4"/>
    <w:rsid w:val="00125EC3"/>
    <w:rsid w:val="0013278C"/>
    <w:rsid w:val="00133E0B"/>
    <w:rsid w:val="001342A4"/>
    <w:rsid w:val="001344BD"/>
    <w:rsid w:val="00136F40"/>
    <w:rsid w:val="001423F9"/>
    <w:rsid w:val="00142555"/>
    <w:rsid w:val="00145883"/>
    <w:rsid w:val="00147932"/>
    <w:rsid w:val="00150D0A"/>
    <w:rsid w:val="001517C1"/>
    <w:rsid w:val="001527E4"/>
    <w:rsid w:val="001568E4"/>
    <w:rsid w:val="00157314"/>
    <w:rsid w:val="00157D74"/>
    <w:rsid w:val="00160DF1"/>
    <w:rsid w:val="00161B6B"/>
    <w:rsid w:val="00165355"/>
    <w:rsid w:val="00165C7B"/>
    <w:rsid w:val="001667BA"/>
    <w:rsid w:val="00167238"/>
    <w:rsid w:val="00170521"/>
    <w:rsid w:val="00174BE7"/>
    <w:rsid w:val="001773F3"/>
    <w:rsid w:val="0018030C"/>
    <w:rsid w:val="0018144E"/>
    <w:rsid w:val="00183623"/>
    <w:rsid w:val="001866A5"/>
    <w:rsid w:val="001878BC"/>
    <w:rsid w:val="001900F7"/>
    <w:rsid w:val="00195A2A"/>
    <w:rsid w:val="001961FD"/>
    <w:rsid w:val="001A1A20"/>
    <w:rsid w:val="001A272B"/>
    <w:rsid w:val="001A6312"/>
    <w:rsid w:val="001A750B"/>
    <w:rsid w:val="001B062E"/>
    <w:rsid w:val="001B0FCE"/>
    <w:rsid w:val="001B1224"/>
    <w:rsid w:val="001B2459"/>
    <w:rsid w:val="001B2F2F"/>
    <w:rsid w:val="001B3658"/>
    <w:rsid w:val="001B44D0"/>
    <w:rsid w:val="001B4686"/>
    <w:rsid w:val="001B5A44"/>
    <w:rsid w:val="001B63DF"/>
    <w:rsid w:val="001B7EBC"/>
    <w:rsid w:val="001C210C"/>
    <w:rsid w:val="001C2297"/>
    <w:rsid w:val="001C2BC7"/>
    <w:rsid w:val="001C5D36"/>
    <w:rsid w:val="001D449B"/>
    <w:rsid w:val="001D48AB"/>
    <w:rsid w:val="001D4B14"/>
    <w:rsid w:val="001D5C22"/>
    <w:rsid w:val="001D78B6"/>
    <w:rsid w:val="001E2FFC"/>
    <w:rsid w:val="001E3B03"/>
    <w:rsid w:val="001E42A7"/>
    <w:rsid w:val="001F162C"/>
    <w:rsid w:val="001F16D8"/>
    <w:rsid w:val="001F2B87"/>
    <w:rsid w:val="001F4322"/>
    <w:rsid w:val="001F55F5"/>
    <w:rsid w:val="001F7276"/>
    <w:rsid w:val="00200689"/>
    <w:rsid w:val="00200F4E"/>
    <w:rsid w:val="00201411"/>
    <w:rsid w:val="002039B0"/>
    <w:rsid w:val="00206DC3"/>
    <w:rsid w:val="002172CF"/>
    <w:rsid w:val="002177FA"/>
    <w:rsid w:val="00220F55"/>
    <w:rsid w:val="00223E55"/>
    <w:rsid w:val="002240F9"/>
    <w:rsid w:val="002241EB"/>
    <w:rsid w:val="00230C1E"/>
    <w:rsid w:val="00231092"/>
    <w:rsid w:val="00235D62"/>
    <w:rsid w:val="00235D8B"/>
    <w:rsid w:val="0024014C"/>
    <w:rsid w:val="00243994"/>
    <w:rsid w:val="00244BEE"/>
    <w:rsid w:val="00247892"/>
    <w:rsid w:val="002502AA"/>
    <w:rsid w:val="002522CC"/>
    <w:rsid w:val="00253E36"/>
    <w:rsid w:val="00253EC7"/>
    <w:rsid w:val="002548B2"/>
    <w:rsid w:val="002577EC"/>
    <w:rsid w:val="00257EF7"/>
    <w:rsid w:val="00262E7F"/>
    <w:rsid w:val="00264210"/>
    <w:rsid w:val="002666E5"/>
    <w:rsid w:val="00270ED5"/>
    <w:rsid w:val="00274CFB"/>
    <w:rsid w:val="00275304"/>
    <w:rsid w:val="00276B18"/>
    <w:rsid w:val="0027713D"/>
    <w:rsid w:val="00281BE3"/>
    <w:rsid w:val="00281F05"/>
    <w:rsid w:val="00281FDA"/>
    <w:rsid w:val="002829C2"/>
    <w:rsid w:val="00284D3E"/>
    <w:rsid w:val="00292AE7"/>
    <w:rsid w:val="002969CC"/>
    <w:rsid w:val="002A644E"/>
    <w:rsid w:val="002A753C"/>
    <w:rsid w:val="002A7DC9"/>
    <w:rsid w:val="002B368D"/>
    <w:rsid w:val="002B3C5A"/>
    <w:rsid w:val="002B4C5A"/>
    <w:rsid w:val="002B5065"/>
    <w:rsid w:val="002B643A"/>
    <w:rsid w:val="002B7B4A"/>
    <w:rsid w:val="002C0391"/>
    <w:rsid w:val="002C268F"/>
    <w:rsid w:val="002C6EF9"/>
    <w:rsid w:val="002D00D3"/>
    <w:rsid w:val="002D0362"/>
    <w:rsid w:val="002D1E34"/>
    <w:rsid w:val="002D3129"/>
    <w:rsid w:val="002D4CC9"/>
    <w:rsid w:val="002D52A0"/>
    <w:rsid w:val="002D54EA"/>
    <w:rsid w:val="002E46F0"/>
    <w:rsid w:val="002E548B"/>
    <w:rsid w:val="002E6106"/>
    <w:rsid w:val="002E6900"/>
    <w:rsid w:val="002F3BB1"/>
    <w:rsid w:val="002F3FF4"/>
    <w:rsid w:val="002F4145"/>
    <w:rsid w:val="002F5F57"/>
    <w:rsid w:val="00300D1A"/>
    <w:rsid w:val="00304149"/>
    <w:rsid w:val="00305CBC"/>
    <w:rsid w:val="0030762A"/>
    <w:rsid w:val="00310B20"/>
    <w:rsid w:val="00320354"/>
    <w:rsid w:val="00321029"/>
    <w:rsid w:val="00323E2E"/>
    <w:rsid w:val="003260BB"/>
    <w:rsid w:val="003264DC"/>
    <w:rsid w:val="00327C48"/>
    <w:rsid w:val="00332486"/>
    <w:rsid w:val="00332889"/>
    <w:rsid w:val="003414E8"/>
    <w:rsid w:val="00350F41"/>
    <w:rsid w:val="00351CD7"/>
    <w:rsid w:val="0035409E"/>
    <w:rsid w:val="003548B1"/>
    <w:rsid w:val="00355283"/>
    <w:rsid w:val="0036058A"/>
    <w:rsid w:val="003626C1"/>
    <w:rsid w:val="00370CDC"/>
    <w:rsid w:val="00371F1A"/>
    <w:rsid w:val="00375855"/>
    <w:rsid w:val="00376134"/>
    <w:rsid w:val="00376665"/>
    <w:rsid w:val="00376C7B"/>
    <w:rsid w:val="00376CA0"/>
    <w:rsid w:val="00377491"/>
    <w:rsid w:val="003816D3"/>
    <w:rsid w:val="0038396B"/>
    <w:rsid w:val="00384129"/>
    <w:rsid w:val="00387D77"/>
    <w:rsid w:val="00391D0E"/>
    <w:rsid w:val="00396DC9"/>
    <w:rsid w:val="003A10B3"/>
    <w:rsid w:val="003A1869"/>
    <w:rsid w:val="003A3860"/>
    <w:rsid w:val="003B1C93"/>
    <w:rsid w:val="003B3AD2"/>
    <w:rsid w:val="003B51C7"/>
    <w:rsid w:val="003B7312"/>
    <w:rsid w:val="003C0480"/>
    <w:rsid w:val="003C176F"/>
    <w:rsid w:val="003C37A1"/>
    <w:rsid w:val="003C4A0E"/>
    <w:rsid w:val="003C55C7"/>
    <w:rsid w:val="003D10AF"/>
    <w:rsid w:val="003D12A9"/>
    <w:rsid w:val="003D1668"/>
    <w:rsid w:val="003D1DA5"/>
    <w:rsid w:val="003D42F1"/>
    <w:rsid w:val="003D4AA2"/>
    <w:rsid w:val="003D67BC"/>
    <w:rsid w:val="003E20CA"/>
    <w:rsid w:val="003E5A57"/>
    <w:rsid w:val="003E6606"/>
    <w:rsid w:val="003E7451"/>
    <w:rsid w:val="003F1884"/>
    <w:rsid w:val="003F5394"/>
    <w:rsid w:val="003F5E08"/>
    <w:rsid w:val="003F6607"/>
    <w:rsid w:val="00402293"/>
    <w:rsid w:val="00402C3D"/>
    <w:rsid w:val="00403044"/>
    <w:rsid w:val="0040353A"/>
    <w:rsid w:val="004079E5"/>
    <w:rsid w:val="00407FDB"/>
    <w:rsid w:val="00410D3F"/>
    <w:rsid w:val="0041206C"/>
    <w:rsid w:val="0041368C"/>
    <w:rsid w:val="00413D4A"/>
    <w:rsid w:val="00413ECA"/>
    <w:rsid w:val="004145C4"/>
    <w:rsid w:val="004163D2"/>
    <w:rsid w:val="00424204"/>
    <w:rsid w:val="0042601D"/>
    <w:rsid w:val="00430842"/>
    <w:rsid w:val="00433699"/>
    <w:rsid w:val="004353B6"/>
    <w:rsid w:val="00435F8C"/>
    <w:rsid w:val="00437EA6"/>
    <w:rsid w:val="00440508"/>
    <w:rsid w:val="004447A6"/>
    <w:rsid w:val="00444ED2"/>
    <w:rsid w:val="0044572E"/>
    <w:rsid w:val="00445C19"/>
    <w:rsid w:val="00446816"/>
    <w:rsid w:val="00447C19"/>
    <w:rsid w:val="0045506B"/>
    <w:rsid w:val="00455434"/>
    <w:rsid w:val="004607F8"/>
    <w:rsid w:val="004626EB"/>
    <w:rsid w:val="00465ED3"/>
    <w:rsid w:val="004663CA"/>
    <w:rsid w:val="00466F1C"/>
    <w:rsid w:val="00471212"/>
    <w:rsid w:val="0047155C"/>
    <w:rsid w:val="00471BDC"/>
    <w:rsid w:val="00471E01"/>
    <w:rsid w:val="00471ECE"/>
    <w:rsid w:val="004759BE"/>
    <w:rsid w:val="00477228"/>
    <w:rsid w:val="004813CC"/>
    <w:rsid w:val="00483ADF"/>
    <w:rsid w:val="00484E48"/>
    <w:rsid w:val="00484F61"/>
    <w:rsid w:val="004851C4"/>
    <w:rsid w:val="00486E4E"/>
    <w:rsid w:val="00490650"/>
    <w:rsid w:val="00491FDE"/>
    <w:rsid w:val="004939F2"/>
    <w:rsid w:val="004968AE"/>
    <w:rsid w:val="00496A60"/>
    <w:rsid w:val="004A142E"/>
    <w:rsid w:val="004A276D"/>
    <w:rsid w:val="004A2909"/>
    <w:rsid w:val="004A5322"/>
    <w:rsid w:val="004A550F"/>
    <w:rsid w:val="004B0197"/>
    <w:rsid w:val="004B02A4"/>
    <w:rsid w:val="004B1C02"/>
    <w:rsid w:val="004B2672"/>
    <w:rsid w:val="004B3904"/>
    <w:rsid w:val="004B4BDE"/>
    <w:rsid w:val="004C5029"/>
    <w:rsid w:val="004C5786"/>
    <w:rsid w:val="004D11EC"/>
    <w:rsid w:val="004D421A"/>
    <w:rsid w:val="004D5212"/>
    <w:rsid w:val="004D6B14"/>
    <w:rsid w:val="004D6F17"/>
    <w:rsid w:val="004D7117"/>
    <w:rsid w:val="004D7A68"/>
    <w:rsid w:val="004E199F"/>
    <w:rsid w:val="004E405D"/>
    <w:rsid w:val="004E4E10"/>
    <w:rsid w:val="004F28D1"/>
    <w:rsid w:val="004F3543"/>
    <w:rsid w:val="004F71D4"/>
    <w:rsid w:val="004F7C60"/>
    <w:rsid w:val="0050424D"/>
    <w:rsid w:val="00504D52"/>
    <w:rsid w:val="00507797"/>
    <w:rsid w:val="00507EE7"/>
    <w:rsid w:val="005104C9"/>
    <w:rsid w:val="0051095A"/>
    <w:rsid w:val="0051409C"/>
    <w:rsid w:val="00516B96"/>
    <w:rsid w:val="00521888"/>
    <w:rsid w:val="00521C21"/>
    <w:rsid w:val="0052233D"/>
    <w:rsid w:val="00523B49"/>
    <w:rsid w:val="00525F1B"/>
    <w:rsid w:val="00531258"/>
    <w:rsid w:val="00532A0A"/>
    <w:rsid w:val="00536511"/>
    <w:rsid w:val="00543831"/>
    <w:rsid w:val="00550E1E"/>
    <w:rsid w:val="005512D7"/>
    <w:rsid w:val="00555A85"/>
    <w:rsid w:val="00556F2E"/>
    <w:rsid w:val="00566D0B"/>
    <w:rsid w:val="00566E25"/>
    <w:rsid w:val="00566F34"/>
    <w:rsid w:val="00571AC7"/>
    <w:rsid w:val="00571F62"/>
    <w:rsid w:val="00573220"/>
    <w:rsid w:val="00573CA9"/>
    <w:rsid w:val="00575269"/>
    <w:rsid w:val="005762B3"/>
    <w:rsid w:val="0058227E"/>
    <w:rsid w:val="00582A3B"/>
    <w:rsid w:val="00583A56"/>
    <w:rsid w:val="00585670"/>
    <w:rsid w:val="0058709B"/>
    <w:rsid w:val="005973F1"/>
    <w:rsid w:val="005A3F65"/>
    <w:rsid w:val="005A40B5"/>
    <w:rsid w:val="005A4ADE"/>
    <w:rsid w:val="005A5388"/>
    <w:rsid w:val="005A54AC"/>
    <w:rsid w:val="005B01ED"/>
    <w:rsid w:val="005B1226"/>
    <w:rsid w:val="005B15E4"/>
    <w:rsid w:val="005B2303"/>
    <w:rsid w:val="005B5807"/>
    <w:rsid w:val="005C05DE"/>
    <w:rsid w:val="005C2FAA"/>
    <w:rsid w:val="005C37E4"/>
    <w:rsid w:val="005C3E6C"/>
    <w:rsid w:val="005C66C7"/>
    <w:rsid w:val="005D029F"/>
    <w:rsid w:val="005D0DFF"/>
    <w:rsid w:val="005D0EC2"/>
    <w:rsid w:val="005D486D"/>
    <w:rsid w:val="005E03B5"/>
    <w:rsid w:val="005E11A5"/>
    <w:rsid w:val="005E1C60"/>
    <w:rsid w:val="005E254D"/>
    <w:rsid w:val="005E5DDF"/>
    <w:rsid w:val="005E5E46"/>
    <w:rsid w:val="005E61F4"/>
    <w:rsid w:val="005E75AD"/>
    <w:rsid w:val="005F1066"/>
    <w:rsid w:val="005F23D0"/>
    <w:rsid w:val="005F2F20"/>
    <w:rsid w:val="005F4D91"/>
    <w:rsid w:val="005F6348"/>
    <w:rsid w:val="005F66C4"/>
    <w:rsid w:val="00602E38"/>
    <w:rsid w:val="00603D27"/>
    <w:rsid w:val="00607388"/>
    <w:rsid w:val="00613057"/>
    <w:rsid w:val="00616BEA"/>
    <w:rsid w:val="00616DC6"/>
    <w:rsid w:val="00621E48"/>
    <w:rsid w:val="00623BEC"/>
    <w:rsid w:val="00625253"/>
    <w:rsid w:val="00626206"/>
    <w:rsid w:val="006307F0"/>
    <w:rsid w:val="00633519"/>
    <w:rsid w:val="006347F9"/>
    <w:rsid w:val="00636533"/>
    <w:rsid w:val="00640812"/>
    <w:rsid w:val="00640883"/>
    <w:rsid w:val="00644733"/>
    <w:rsid w:val="0064578C"/>
    <w:rsid w:val="00647804"/>
    <w:rsid w:val="006525C8"/>
    <w:rsid w:val="006534A0"/>
    <w:rsid w:val="00655CB3"/>
    <w:rsid w:val="00656EBC"/>
    <w:rsid w:val="00661942"/>
    <w:rsid w:val="00664AFA"/>
    <w:rsid w:val="006659E6"/>
    <w:rsid w:val="00665DC5"/>
    <w:rsid w:val="00666834"/>
    <w:rsid w:val="00670D2F"/>
    <w:rsid w:val="00670F62"/>
    <w:rsid w:val="00672683"/>
    <w:rsid w:val="00672C09"/>
    <w:rsid w:val="00680A71"/>
    <w:rsid w:val="006812A0"/>
    <w:rsid w:val="00682614"/>
    <w:rsid w:val="00690A11"/>
    <w:rsid w:val="0069192A"/>
    <w:rsid w:val="00691B1E"/>
    <w:rsid w:val="00692732"/>
    <w:rsid w:val="00692C2C"/>
    <w:rsid w:val="00693C07"/>
    <w:rsid w:val="00695044"/>
    <w:rsid w:val="00696017"/>
    <w:rsid w:val="0069657C"/>
    <w:rsid w:val="0069726A"/>
    <w:rsid w:val="006974C8"/>
    <w:rsid w:val="006A3721"/>
    <w:rsid w:val="006A6CC5"/>
    <w:rsid w:val="006A6E34"/>
    <w:rsid w:val="006A710E"/>
    <w:rsid w:val="006B0EB4"/>
    <w:rsid w:val="006B23E5"/>
    <w:rsid w:val="006B3FFA"/>
    <w:rsid w:val="006B6504"/>
    <w:rsid w:val="006B739E"/>
    <w:rsid w:val="006B7616"/>
    <w:rsid w:val="006C57C9"/>
    <w:rsid w:val="006D038E"/>
    <w:rsid w:val="006D1196"/>
    <w:rsid w:val="006D1ACC"/>
    <w:rsid w:val="006D515B"/>
    <w:rsid w:val="006D5A26"/>
    <w:rsid w:val="006D6FF6"/>
    <w:rsid w:val="006E16F9"/>
    <w:rsid w:val="006E2381"/>
    <w:rsid w:val="006E2DC2"/>
    <w:rsid w:val="006E60D1"/>
    <w:rsid w:val="006E6479"/>
    <w:rsid w:val="006E7468"/>
    <w:rsid w:val="006F03AE"/>
    <w:rsid w:val="006F079D"/>
    <w:rsid w:val="006F0D60"/>
    <w:rsid w:val="006F327A"/>
    <w:rsid w:val="006F3FFD"/>
    <w:rsid w:val="006F76FE"/>
    <w:rsid w:val="007016C3"/>
    <w:rsid w:val="00701B01"/>
    <w:rsid w:val="00704CE0"/>
    <w:rsid w:val="00705E72"/>
    <w:rsid w:val="00713675"/>
    <w:rsid w:val="00715E0C"/>
    <w:rsid w:val="0071755F"/>
    <w:rsid w:val="0072377F"/>
    <w:rsid w:val="00724C11"/>
    <w:rsid w:val="00726B8B"/>
    <w:rsid w:val="00727983"/>
    <w:rsid w:val="0073019C"/>
    <w:rsid w:val="0073175B"/>
    <w:rsid w:val="0073326E"/>
    <w:rsid w:val="00733BC0"/>
    <w:rsid w:val="007402A0"/>
    <w:rsid w:val="00740A47"/>
    <w:rsid w:val="00741C7E"/>
    <w:rsid w:val="00742190"/>
    <w:rsid w:val="007421BB"/>
    <w:rsid w:val="00742953"/>
    <w:rsid w:val="00743234"/>
    <w:rsid w:val="00745E38"/>
    <w:rsid w:val="00746A4C"/>
    <w:rsid w:val="00751B7D"/>
    <w:rsid w:val="007524AB"/>
    <w:rsid w:val="0075523F"/>
    <w:rsid w:val="007605A8"/>
    <w:rsid w:val="00761A22"/>
    <w:rsid w:val="0076432D"/>
    <w:rsid w:val="00771232"/>
    <w:rsid w:val="00780885"/>
    <w:rsid w:val="0078235D"/>
    <w:rsid w:val="00783413"/>
    <w:rsid w:val="00783AE5"/>
    <w:rsid w:val="0078473F"/>
    <w:rsid w:val="00785C3D"/>
    <w:rsid w:val="00790954"/>
    <w:rsid w:val="00790F88"/>
    <w:rsid w:val="00791D67"/>
    <w:rsid w:val="00794AB4"/>
    <w:rsid w:val="0079547C"/>
    <w:rsid w:val="00795EA8"/>
    <w:rsid w:val="00795ED4"/>
    <w:rsid w:val="00797A17"/>
    <w:rsid w:val="00797F03"/>
    <w:rsid w:val="007A0039"/>
    <w:rsid w:val="007A1756"/>
    <w:rsid w:val="007A2A91"/>
    <w:rsid w:val="007A4DC6"/>
    <w:rsid w:val="007A5C3B"/>
    <w:rsid w:val="007A6D48"/>
    <w:rsid w:val="007B3298"/>
    <w:rsid w:val="007B5D28"/>
    <w:rsid w:val="007C001C"/>
    <w:rsid w:val="007C2FDC"/>
    <w:rsid w:val="007C33FB"/>
    <w:rsid w:val="007D0D8A"/>
    <w:rsid w:val="007D1732"/>
    <w:rsid w:val="007D1741"/>
    <w:rsid w:val="007D59AD"/>
    <w:rsid w:val="007D6185"/>
    <w:rsid w:val="007E1142"/>
    <w:rsid w:val="007E3E09"/>
    <w:rsid w:val="007F0196"/>
    <w:rsid w:val="007F242A"/>
    <w:rsid w:val="007F54D3"/>
    <w:rsid w:val="0080144A"/>
    <w:rsid w:val="0080189A"/>
    <w:rsid w:val="00801D04"/>
    <w:rsid w:val="00801F24"/>
    <w:rsid w:val="008021FF"/>
    <w:rsid w:val="00806D62"/>
    <w:rsid w:val="008075FA"/>
    <w:rsid w:val="0080767B"/>
    <w:rsid w:val="00810172"/>
    <w:rsid w:val="00812410"/>
    <w:rsid w:val="00812807"/>
    <w:rsid w:val="00816BB1"/>
    <w:rsid w:val="00817628"/>
    <w:rsid w:val="008203EF"/>
    <w:rsid w:val="00820E3D"/>
    <w:rsid w:val="00822397"/>
    <w:rsid w:val="008267BA"/>
    <w:rsid w:val="00827286"/>
    <w:rsid w:val="00832020"/>
    <w:rsid w:val="008334DF"/>
    <w:rsid w:val="00835684"/>
    <w:rsid w:val="0083635E"/>
    <w:rsid w:val="00836EB9"/>
    <w:rsid w:val="00837CF7"/>
    <w:rsid w:val="00841F0D"/>
    <w:rsid w:val="00841F47"/>
    <w:rsid w:val="0084291C"/>
    <w:rsid w:val="00842D7C"/>
    <w:rsid w:val="008444BD"/>
    <w:rsid w:val="00851282"/>
    <w:rsid w:val="00852461"/>
    <w:rsid w:val="008534B3"/>
    <w:rsid w:val="00854A34"/>
    <w:rsid w:val="008552A6"/>
    <w:rsid w:val="00855C66"/>
    <w:rsid w:val="00856236"/>
    <w:rsid w:val="00866253"/>
    <w:rsid w:val="00870ADD"/>
    <w:rsid w:val="00872994"/>
    <w:rsid w:val="008736A5"/>
    <w:rsid w:val="00875EB7"/>
    <w:rsid w:val="00875F7C"/>
    <w:rsid w:val="00876E6F"/>
    <w:rsid w:val="00880E79"/>
    <w:rsid w:val="0088205E"/>
    <w:rsid w:val="008849B9"/>
    <w:rsid w:val="00885449"/>
    <w:rsid w:val="008863DE"/>
    <w:rsid w:val="00886B99"/>
    <w:rsid w:val="00886CA9"/>
    <w:rsid w:val="008913F0"/>
    <w:rsid w:val="00893553"/>
    <w:rsid w:val="00894F5C"/>
    <w:rsid w:val="00896D0C"/>
    <w:rsid w:val="008979CB"/>
    <w:rsid w:val="008A38FE"/>
    <w:rsid w:val="008B105D"/>
    <w:rsid w:val="008B150B"/>
    <w:rsid w:val="008B206C"/>
    <w:rsid w:val="008B5B3E"/>
    <w:rsid w:val="008B5C43"/>
    <w:rsid w:val="008B7A5D"/>
    <w:rsid w:val="008C023A"/>
    <w:rsid w:val="008C02D9"/>
    <w:rsid w:val="008C0EB9"/>
    <w:rsid w:val="008C1850"/>
    <w:rsid w:val="008C47AB"/>
    <w:rsid w:val="008C49C6"/>
    <w:rsid w:val="008D525F"/>
    <w:rsid w:val="008D5F9D"/>
    <w:rsid w:val="008D6216"/>
    <w:rsid w:val="008D6914"/>
    <w:rsid w:val="008D7BDB"/>
    <w:rsid w:val="008E226E"/>
    <w:rsid w:val="008E298E"/>
    <w:rsid w:val="008E2C05"/>
    <w:rsid w:val="008E4150"/>
    <w:rsid w:val="008E5628"/>
    <w:rsid w:val="008E7148"/>
    <w:rsid w:val="008E75D5"/>
    <w:rsid w:val="008F3834"/>
    <w:rsid w:val="008F6854"/>
    <w:rsid w:val="009012AF"/>
    <w:rsid w:val="0090396E"/>
    <w:rsid w:val="009113AD"/>
    <w:rsid w:val="00911959"/>
    <w:rsid w:val="00917986"/>
    <w:rsid w:val="00921624"/>
    <w:rsid w:val="00925F4F"/>
    <w:rsid w:val="00927484"/>
    <w:rsid w:val="00927B1D"/>
    <w:rsid w:val="00931A67"/>
    <w:rsid w:val="00932E24"/>
    <w:rsid w:val="00933643"/>
    <w:rsid w:val="00935E3F"/>
    <w:rsid w:val="00937190"/>
    <w:rsid w:val="00940594"/>
    <w:rsid w:val="00940D53"/>
    <w:rsid w:val="00941A12"/>
    <w:rsid w:val="0094463B"/>
    <w:rsid w:val="009457D5"/>
    <w:rsid w:val="00946A59"/>
    <w:rsid w:val="009526D1"/>
    <w:rsid w:val="00962C40"/>
    <w:rsid w:val="0096313A"/>
    <w:rsid w:val="00964DC9"/>
    <w:rsid w:val="009653EB"/>
    <w:rsid w:val="00966480"/>
    <w:rsid w:val="009668E4"/>
    <w:rsid w:val="00967E33"/>
    <w:rsid w:val="00973E90"/>
    <w:rsid w:val="0097717D"/>
    <w:rsid w:val="00981C7D"/>
    <w:rsid w:val="009833ED"/>
    <w:rsid w:val="009835F9"/>
    <w:rsid w:val="00984127"/>
    <w:rsid w:val="009844C8"/>
    <w:rsid w:val="009847A5"/>
    <w:rsid w:val="0099016F"/>
    <w:rsid w:val="00992A62"/>
    <w:rsid w:val="00994B9C"/>
    <w:rsid w:val="00994D8E"/>
    <w:rsid w:val="0099733D"/>
    <w:rsid w:val="009A0716"/>
    <w:rsid w:val="009A1D5A"/>
    <w:rsid w:val="009A6DDF"/>
    <w:rsid w:val="009B51C7"/>
    <w:rsid w:val="009B571F"/>
    <w:rsid w:val="009B68D7"/>
    <w:rsid w:val="009C036D"/>
    <w:rsid w:val="009C04EE"/>
    <w:rsid w:val="009C1D74"/>
    <w:rsid w:val="009C7602"/>
    <w:rsid w:val="009D24A7"/>
    <w:rsid w:val="009D3084"/>
    <w:rsid w:val="009D37A9"/>
    <w:rsid w:val="009D45F5"/>
    <w:rsid w:val="009D5461"/>
    <w:rsid w:val="009E0086"/>
    <w:rsid w:val="009E2100"/>
    <w:rsid w:val="009E2364"/>
    <w:rsid w:val="009E3819"/>
    <w:rsid w:val="009E6AA5"/>
    <w:rsid w:val="009F3B96"/>
    <w:rsid w:val="009F45CA"/>
    <w:rsid w:val="009F681E"/>
    <w:rsid w:val="00A01772"/>
    <w:rsid w:val="00A024AB"/>
    <w:rsid w:val="00A02C0D"/>
    <w:rsid w:val="00A038BE"/>
    <w:rsid w:val="00A03FAE"/>
    <w:rsid w:val="00A05924"/>
    <w:rsid w:val="00A06606"/>
    <w:rsid w:val="00A06617"/>
    <w:rsid w:val="00A115F6"/>
    <w:rsid w:val="00A13FA4"/>
    <w:rsid w:val="00A1475E"/>
    <w:rsid w:val="00A15F82"/>
    <w:rsid w:val="00A22C92"/>
    <w:rsid w:val="00A24AE5"/>
    <w:rsid w:val="00A2538A"/>
    <w:rsid w:val="00A26712"/>
    <w:rsid w:val="00A305C1"/>
    <w:rsid w:val="00A31484"/>
    <w:rsid w:val="00A32F4E"/>
    <w:rsid w:val="00A35533"/>
    <w:rsid w:val="00A37156"/>
    <w:rsid w:val="00A37181"/>
    <w:rsid w:val="00A37B79"/>
    <w:rsid w:val="00A4166B"/>
    <w:rsid w:val="00A47BB3"/>
    <w:rsid w:val="00A52D00"/>
    <w:rsid w:val="00A54D4C"/>
    <w:rsid w:val="00A56A76"/>
    <w:rsid w:val="00A57627"/>
    <w:rsid w:val="00A662BF"/>
    <w:rsid w:val="00A712EA"/>
    <w:rsid w:val="00A72D5E"/>
    <w:rsid w:val="00A74E8E"/>
    <w:rsid w:val="00A76F3E"/>
    <w:rsid w:val="00A80F19"/>
    <w:rsid w:val="00A81213"/>
    <w:rsid w:val="00A8429F"/>
    <w:rsid w:val="00A91D59"/>
    <w:rsid w:val="00A92B58"/>
    <w:rsid w:val="00A92D8F"/>
    <w:rsid w:val="00A93AB6"/>
    <w:rsid w:val="00A9546F"/>
    <w:rsid w:val="00AA144D"/>
    <w:rsid w:val="00AA1EB3"/>
    <w:rsid w:val="00AA5711"/>
    <w:rsid w:val="00AA5D17"/>
    <w:rsid w:val="00AA687D"/>
    <w:rsid w:val="00AB090D"/>
    <w:rsid w:val="00AB0F13"/>
    <w:rsid w:val="00AB1214"/>
    <w:rsid w:val="00AB1F35"/>
    <w:rsid w:val="00AB3267"/>
    <w:rsid w:val="00AB4622"/>
    <w:rsid w:val="00AB5A66"/>
    <w:rsid w:val="00AC2D07"/>
    <w:rsid w:val="00AC3F3B"/>
    <w:rsid w:val="00AC4E97"/>
    <w:rsid w:val="00AC65CF"/>
    <w:rsid w:val="00AC78C5"/>
    <w:rsid w:val="00AD232E"/>
    <w:rsid w:val="00AD3292"/>
    <w:rsid w:val="00AD45BD"/>
    <w:rsid w:val="00AD4642"/>
    <w:rsid w:val="00AD648C"/>
    <w:rsid w:val="00AD7488"/>
    <w:rsid w:val="00AE4F8E"/>
    <w:rsid w:val="00AE6277"/>
    <w:rsid w:val="00AE6C48"/>
    <w:rsid w:val="00AF0C33"/>
    <w:rsid w:val="00AF0C93"/>
    <w:rsid w:val="00AF28F5"/>
    <w:rsid w:val="00B01949"/>
    <w:rsid w:val="00B0597F"/>
    <w:rsid w:val="00B068DD"/>
    <w:rsid w:val="00B106A1"/>
    <w:rsid w:val="00B1136E"/>
    <w:rsid w:val="00B118A8"/>
    <w:rsid w:val="00B121BA"/>
    <w:rsid w:val="00B122AE"/>
    <w:rsid w:val="00B13618"/>
    <w:rsid w:val="00B14F64"/>
    <w:rsid w:val="00B15A54"/>
    <w:rsid w:val="00B15BED"/>
    <w:rsid w:val="00B16697"/>
    <w:rsid w:val="00B20F43"/>
    <w:rsid w:val="00B2191E"/>
    <w:rsid w:val="00B22107"/>
    <w:rsid w:val="00B22F21"/>
    <w:rsid w:val="00B24CB4"/>
    <w:rsid w:val="00B2526A"/>
    <w:rsid w:val="00B26C37"/>
    <w:rsid w:val="00B35AB1"/>
    <w:rsid w:val="00B374D7"/>
    <w:rsid w:val="00B43829"/>
    <w:rsid w:val="00B4508C"/>
    <w:rsid w:val="00B52C16"/>
    <w:rsid w:val="00B534A0"/>
    <w:rsid w:val="00B556FC"/>
    <w:rsid w:val="00B55CA6"/>
    <w:rsid w:val="00B572BF"/>
    <w:rsid w:val="00B6213B"/>
    <w:rsid w:val="00B65481"/>
    <w:rsid w:val="00B6699E"/>
    <w:rsid w:val="00B67BC9"/>
    <w:rsid w:val="00B738E0"/>
    <w:rsid w:val="00B7454F"/>
    <w:rsid w:val="00B76B1D"/>
    <w:rsid w:val="00B77E97"/>
    <w:rsid w:val="00B81CE6"/>
    <w:rsid w:val="00B8672A"/>
    <w:rsid w:val="00B87AA0"/>
    <w:rsid w:val="00B90377"/>
    <w:rsid w:val="00B90645"/>
    <w:rsid w:val="00B915D4"/>
    <w:rsid w:val="00B92769"/>
    <w:rsid w:val="00B939BE"/>
    <w:rsid w:val="00B9469F"/>
    <w:rsid w:val="00BA0DBA"/>
    <w:rsid w:val="00BA0E4E"/>
    <w:rsid w:val="00BA3A95"/>
    <w:rsid w:val="00BA3C8E"/>
    <w:rsid w:val="00BB317F"/>
    <w:rsid w:val="00BB346D"/>
    <w:rsid w:val="00BB446D"/>
    <w:rsid w:val="00BB6DA8"/>
    <w:rsid w:val="00BC200A"/>
    <w:rsid w:val="00BC5CA9"/>
    <w:rsid w:val="00BC69E6"/>
    <w:rsid w:val="00BD3294"/>
    <w:rsid w:val="00BD4A52"/>
    <w:rsid w:val="00BD592E"/>
    <w:rsid w:val="00BE2313"/>
    <w:rsid w:val="00BE2C70"/>
    <w:rsid w:val="00BE54D9"/>
    <w:rsid w:val="00BE6F1A"/>
    <w:rsid w:val="00BF0CC3"/>
    <w:rsid w:val="00BF1FB2"/>
    <w:rsid w:val="00BF34D5"/>
    <w:rsid w:val="00BF4DA2"/>
    <w:rsid w:val="00C022D3"/>
    <w:rsid w:val="00C02601"/>
    <w:rsid w:val="00C04952"/>
    <w:rsid w:val="00C05944"/>
    <w:rsid w:val="00C05C55"/>
    <w:rsid w:val="00C06542"/>
    <w:rsid w:val="00C07BAF"/>
    <w:rsid w:val="00C117EA"/>
    <w:rsid w:val="00C126C9"/>
    <w:rsid w:val="00C13D78"/>
    <w:rsid w:val="00C17A68"/>
    <w:rsid w:val="00C20812"/>
    <w:rsid w:val="00C21313"/>
    <w:rsid w:val="00C2381C"/>
    <w:rsid w:val="00C25CF7"/>
    <w:rsid w:val="00C3299F"/>
    <w:rsid w:val="00C33750"/>
    <w:rsid w:val="00C414BB"/>
    <w:rsid w:val="00C41617"/>
    <w:rsid w:val="00C423C7"/>
    <w:rsid w:val="00C44881"/>
    <w:rsid w:val="00C550F9"/>
    <w:rsid w:val="00C553A7"/>
    <w:rsid w:val="00C555D1"/>
    <w:rsid w:val="00C559D3"/>
    <w:rsid w:val="00C56230"/>
    <w:rsid w:val="00C60E25"/>
    <w:rsid w:val="00C64C58"/>
    <w:rsid w:val="00C66FC9"/>
    <w:rsid w:val="00C726CC"/>
    <w:rsid w:val="00C74625"/>
    <w:rsid w:val="00C749CB"/>
    <w:rsid w:val="00C750C2"/>
    <w:rsid w:val="00C77B7A"/>
    <w:rsid w:val="00C81093"/>
    <w:rsid w:val="00C822F4"/>
    <w:rsid w:val="00C83CA3"/>
    <w:rsid w:val="00C83E51"/>
    <w:rsid w:val="00C912F9"/>
    <w:rsid w:val="00C91F8E"/>
    <w:rsid w:val="00C92476"/>
    <w:rsid w:val="00C927E4"/>
    <w:rsid w:val="00C92D15"/>
    <w:rsid w:val="00C93755"/>
    <w:rsid w:val="00C9455A"/>
    <w:rsid w:val="00C975CB"/>
    <w:rsid w:val="00CA3D9B"/>
    <w:rsid w:val="00CB14B9"/>
    <w:rsid w:val="00CB560C"/>
    <w:rsid w:val="00CB63EF"/>
    <w:rsid w:val="00CB64EE"/>
    <w:rsid w:val="00CB67FE"/>
    <w:rsid w:val="00CC17F0"/>
    <w:rsid w:val="00CC1CD6"/>
    <w:rsid w:val="00CD36A5"/>
    <w:rsid w:val="00CD4AE0"/>
    <w:rsid w:val="00CD6386"/>
    <w:rsid w:val="00CD6529"/>
    <w:rsid w:val="00CD6583"/>
    <w:rsid w:val="00CD75F8"/>
    <w:rsid w:val="00CD7DA7"/>
    <w:rsid w:val="00CE1169"/>
    <w:rsid w:val="00CE2138"/>
    <w:rsid w:val="00CE34A9"/>
    <w:rsid w:val="00CE63E7"/>
    <w:rsid w:val="00CE7638"/>
    <w:rsid w:val="00CF23BF"/>
    <w:rsid w:val="00CF25E9"/>
    <w:rsid w:val="00CF3394"/>
    <w:rsid w:val="00CF33C4"/>
    <w:rsid w:val="00CF454C"/>
    <w:rsid w:val="00CF578C"/>
    <w:rsid w:val="00CF679D"/>
    <w:rsid w:val="00CF7823"/>
    <w:rsid w:val="00D06B67"/>
    <w:rsid w:val="00D107CA"/>
    <w:rsid w:val="00D11149"/>
    <w:rsid w:val="00D12C37"/>
    <w:rsid w:val="00D12E0C"/>
    <w:rsid w:val="00D14256"/>
    <w:rsid w:val="00D15D00"/>
    <w:rsid w:val="00D1748C"/>
    <w:rsid w:val="00D20C62"/>
    <w:rsid w:val="00D21A15"/>
    <w:rsid w:val="00D22597"/>
    <w:rsid w:val="00D2575F"/>
    <w:rsid w:val="00D326E4"/>
    <w:rsid w:val="00D363FF"/>
    <w:rsid w:val="00D409E0"/>
    <w:rsid w:val="00D421A1"/>
    <w:rsid w:val="00D42FBE"/>
    <w:rsid w:val="00D47A13"/>
    <w:rsid w:val="00D50B31"/>
    <w:rsid w:val="00D51043"/>
    <w:rsid w:val="00D51BBF"/>
    <w:rsid w:val="00D57CE0"/>
    <w:rsid w:val="00D61744"/>
    <w:rsid w:val="00D62E3E"/>
    <w:rsid w:val="00D63C6D"/>
    <w:rsid w:val="00D714F4"/>
    <w:rsid w:val="00D71559"/>
    <w:rsid w:val="00D72702"/>
    <w:rsid w:val="00D73F70"/>
    <w:rsid w:val="00D760C8"/>
    <w:rsid w:val="00D80FC1"/>
    <w:rsid w:val="00D8502E"/>
    <w:rsid w:val="00D8563F"/>
    <w:rsid w:val="00D87147"/>
    <w:rsid w:val="00D91D67"/>
    <w:rsid w:val="00D91FF9"/>
    <w:rsid w:val="00D92876"/>
    <w:rsid w:val="00D934D7"/>
    <w:rsid w:val="00D9477C"/>
    <w:rsid w:val="00D9510F"/>
    <w:rsid w:val="00D9549B"/>
    <w:rsid w:val="00D9560C"/>
    <w:rsid w:val="00D97918"/>
    <w:rsid w:val="00DA44E0"/>
    <w:rsid w:val="00DA6842"/>
    <w:rsid w:val="00DB1469"/>
    <w:rsid w:val="00DB1EA2"/>
    <w:rsid w:val="00DC0CE7"/>
    <w:rsid w:val="00DC1FA5"/>
    <w:rsid w:val="00DC4720"/>
    <w:rsid w:val="00DD0567"/>
    <w:rsid w:val="00DD08E7"/>
    <w:rsid w:val="00DD1A0A"/>
    <w:rsid w:val="00DD7100"/>
    <w:rsid w:val="00DD78B0"/>
    <w:rsid w:val="00DD7CFF"/>
    <w:rsid w:val="00DE5736"/>
    <w:rsid w:val="00DE7E0C"/>
    <w:rsid w:val="00DF0F73"/>
    <w:rsid w:val="00DF1565"/>
    <w:rsid w:val="00DF3005"/>
    <w:rsid w:val="00DF7A6F"/>
    <w:rsid w:val="00E01F42"/>
    <w:rsid w:val="00E032CA"/>
    <w:rsid w:val="00E03B53"/>
    <w:rsid w:val="00E04DB3"/>
    <w:rsid w:val="00E05D29"/>
    <w:rsid w:val="00E067DE"/>
    <w:rsid w:val="00E10991"/>
    <w:rsid w:val="00E10A15"/>
    <w:rsid w:val="00E12F97"/>
    <w:rsid w:val="00E1392E"/>
    <w:rsid w:val="00E14B98"/>
    <w:rsid w:val="00E15452"/>
    <w:rsid w:val="00E16335"/>
    <w:rsid w:val="00E1652D"/>
    <w:rsid w:val="00E16A25"/>
    <w:rsid w:val="00E16C6F"/>
    <w:rsid w:val="00E17160"/>
    <w:rsid w:val="00E228A8"/>
    <w:rsid w:val="00E264D6"/>
    <w:rsid w:val="00E269B8"/>
    <w:rsid w:val="00E274AB"/>
    <w:rsid w:val="00E300E8"/>
    <w:rsid w:val="00E302E9"/>
    <w:rsid w:val="00E3067E"/>
    <w:rsid w:val="00E315DA"/>
    <w:rsid w:val="00E3211F"/>
    <w:rsid w:val="00E3397E"/>
    <w:rsid w:val="00E34807"/>
    <w:rsid w:val="00E3676B"/>
    <w:rsid w:val="00E36981"/>
    <w:rsid w:val="00E36D8A"/>
    <w:rsid w:val="00E37392"/>
    <w:rsid w:val="00E40AA1"/>
    <w:rsid w:val="00E41126"/>
    <w:rsid w:val="00E42866"/>
    <w:rsid w:val="00E463D5"/>
    <w:rsid w:val="00E5373B"/>
    <w:rsid w:val="00E56444"/>
    <w:rsid w:val="00E57E0F"/>
    <w:rsid w:val="00E57FDB"/>
    <w:rsid w:val="00E62D75"/>
    <w:rsid w:val="00E63A5F"/>
    <w:rsid w:val="00E669DF"/>
    <w:rsid w:val="00E66A45"/>
    <w:rsid w:val="00E66DF0"/>
    <w:rsid w:val="00E67E70"/>
    <w:rsid w:val="00E71AC1"/>
    <w:rsid w:val="00E73CD0"/>
    <w:rsid w:val="00E7443B"/>
    <w:rsid w:val="00E7505A"/>
    <w:rsid w:val="00E754DA"/>
    <w:rsid w:val="00E756DB"/>
    <w:rsid w:val="00E757A0"/>
    <w:rsid w:val="00E772FC"/>
    <w:rsid w:val="00E804CF"/>
    <w:rsid w:val="00E80872"/>
    <w:rsid w:val="00E813D1"/>
    <w:rsid w:val="00E83E10"/>
    <w:rsid w:val="00E84FAD"/>
    <w:rsid w:val="00E85651"/>
    <w:rsid w:val="00E92652"/>
    <w:rsid w:val="00E94283"/>
    <w:rsid w:val="00E94E4C"/>
    <w:rsid w:val="00E95DBE"/>
    <w:rsid w:val="00E9602F"/>
    <w:rsid w:val="00E97EC6"/>
    <w:rsid w:val="00EA1874"/>
    <w:rsid w:val="00EB3BA6"/>
    <w:rsid w:val="00EB5FC7"/>
    <w:rsid w:val="00EC10D1"/>
    <w:rsid w:val="00EC22A1"/>
    <w:rsid w:val="00EC4DC7"/>
    <w:rsid w:val="00EC67F1"/>
    <w:rsid w:val="00ED0048"/>
    <w:rsid w:val="00ED0508"/>
    <w:rsid w:val="00ED1547"/>
    <w:rsid w:val="00ED1FF9"/>
    <w:rsid w:val="00ED24F4"/>
    <w:rsid w:val="00ED297E"/>
    <w:rsid w:val="00ED342F"/>
    <w:rsid w:val="00ED3EB9"/>
    <w:rsid w:val="00ED4304"/>
    <w:rsid w:val="00ED7A70"/>
    <w:rsid w:val="00EE0715"/>
    <w:rsid w:val="00EE1502"/>
    <w:rsid w:val="00EE1733"/>
    <w:rsid w:val="00EE3039"/>
    <w:rsid w:val="00EE4C58"/>
    <w:rsid w:val="00EE68AE"/>
    <w:rsid w:val="00EE7BE2"/>
    <w:rsid w:val="00EF2181"/>
    <w:rsid w:val="00EF41A4"/>
    <w:rsid w:val="00EF435E"/>
    <w:rsid w:val="00EF4E09"/>
    <w:rsid w:val="00EF4F4C"/>
    <w:rsid w:val="00F01283"/>
    <w:rsid w:val="00F0223B"/>
    <w:rsid w:val="00F06D15"/>
    <w:rsid w:val="00F105BF"/>
    <w:rsid w:val="00F21B5E"/>
    <w:rsid w:val="00F234B3"/>
    <w:rsid w:val="00F2435E"/>
    <w:rsid w:val="00F24502"/>
    <w:rsid w:val="00F24E23"/>
    <w:rsid w:val="00F27812"/>
    <w:rsid w:val="00F27C35"/>
    <w:rsid w:val="00F30C12"/>
    <w:rsid w:val="00F33E08"/>
    <w:rsid w:val="00F3485E"/>
    <w:rsid w:val="00F36012"/>
    <w:rsid w:val="00F4367A"/>
    <w:rsid w:val="00F43E0F"/>
    <w:rsid w:val="00F46222"/>
    <w:rsid w:val="00F4622E"/>
    <w:rsid w:val="00F5046D"/>
    <w:rsid w:val="00F50AB8"/>
    <w:rsid w:val="00F51570"/>
    <w:rsid w:val="00F52202"/>
    <w:rsid w:val="00F53AE1"/>
    <w:rsid w:val="00F53C71"/>
    <w:rsid w:val="00F53FFC"/>
    <w:rsid w:val="00F567C0"/>
    <w:rsid w:val="00F575F6"/>
    <w:rsid w:val="00F636B2"/>
    <w:rsid w:val="00F63B48"/>
    <w:rsid w:val="00F63FA8"/>
    <w:rsid w:val="00F66F7C"/>
    <w:rsid w:val="00F709C6"/>
    <w:rsid w:val="00F72148"/>
    <w:rsid w:val="00F73332"/>
    <w:rsid w:val="00F7499D"/>
    <w:rsid w:val="00F7606D"/>
    <w:rsid w:val="00F76AC9"/>
    <w:rsid w:val="00F829D2"/>
    <w:rsid w:val="00F83F60"/>
    <w:rsid w:val="00F84572"/>
    <w:rsid w:val="00F84B04"/>
    <w:rsid w:val="00F925F5"/>
    <w:rsid w:val="00F92B12"/>
    <w:rsid w:val="00F96064"/>
    <w:rsid w:val="00F977B9"/>
    <w:rsid w:val="00F97869"/>
    <w:rsid w:val="00FA099E"/>
    <w:rsid w:val="00FA5412"/>
    <w:rsid w:val="00FA5A91"/>
    <w:rsid w:val="00FB0280"/>
    <w:rsid w:val="00FB0F60"/>
    <w:rsid w:val="00FB10A7"/>
    <w:rsid w:val="00FB26B4"/>
    <w:rsid w:val="00FC19EA"/>
    <w:rsid w:val="00FC3426"/>
    <w:rsid w:val="00FC4017"/>
    <w:rsid w:val="00FC76AC"/>
    <w:rsid w:val="00FD087E"/>
    <w:rsid w:val="00FD3D07"/>
    <w:rsid w:val="00FE01A4"/>
    <w:rsid w:val="00FF49E5"/>
    <w:rsid w:val="00FF5A85"/>
    <w:rsid w:val="00FF6352"/>
    <w:rsid w:val="00FF6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EEDE26E"/>
  <w15:docId w15:val="{8D7C9E23-800A-4E63-8E04-CE9AE335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rsid w:val="00BD592E"/>
    <w:pPr>
      <w:keepNext/>
      <w:spacing w:before="120" w:after="120"/>
      <w:outlineLvl w:val="0"/>
    </w:pPr>
    <w:rPr>
      <w:b/>
      <w:bCs/>
    </w:rPr>
  </w:style>
  <w:style w:type="paragraph" w:styleId="Heading2">
    <w:name w:val="heading 2"/>
    <w:basedOn w:val="Normal"/>
    <w:next w:val="Normal"/>
    <w:qFormat/>
    <w:rsid w:val="00FF6352"/>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spacing w:before="120" w:after="120"/>
    </w:pPr>
    <w:rPr>
      <w:b/>
      <w:bCs/>
      <w:sz w:val="20"/>
      <w:szCs w:val="20"/>
    </w:rPr>
  </w:style>
  <w:style w:type="character" w:styleId="PageNumber">
    <w:name w:val="page number"/>
    <w:basedOn w:val="DefaultParagraphFont"/>
  </w:style>
  <w:style w:type="character" w:styleId="Hyperlink">
    <w:name w:val="Hyperlink"/>
    <w:uiPriority w:val="99"/>
    <w:rsid w:val="00713675"/>
    <w:rPr>
      <w:color w:val="0000FF"/>
      <w:u w:val="single"/>
    </w:rPr>
  </w:style>
  <w:style w:type="table" w:styleId="TableGrid">
    <w:name w:val="Table Grid"/>
    <w:basedOn w:val="TableNormal"/>
    <w:uiPriority w:val="59"/>
    <w:rsid w:val="00E36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D592E"/>
    <w:pPr>
      <w:numPr>
        <w:numId w:val="1"/>
      </w:numPr>
      <w:spacing w:after="120"/>
      <w:ind w:left="426" w:hanging="426"/>
    </w:pPr>
  </w:style>
  <w:style w:type="paragraph" w:customStyle="1" w:styleId="CharChar1CharCharCharCharCharCharChar">
    <w:name w:val="Char Char1 Char Char Char Char Char Char Char"/>
    <w:basedOn w:val="Normal"/>
    <w:rsid w:val="00C92476"/>
    <w:pPr>
      <w:spacing w:after="160" w:line="240" w:lineRule="exact"/>
    </w:pPr>
    <w:rPr>
      <w:rFonts w:ascii="Verdana" w:hAnsi="Verdana"/>
      <w:lang w:val="en-US"/>
    </w:rPr>
  </w:style>
  <w:style w:type="table" w:customStyle="1" w:styleId="TableGrid1">
    <w:name w:val="Table Grid1"/>
    <w:basedOn w:val="TableNormal"/>
    <w:next w:val="TableGrid"/>
    <w:uiPriority w:val="59"/>
    <w:rsid w:val="00531258"/>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07EC6"/>
  </w:style>
  <w:style w:type="paragraph" w:customStyle="1" w:styleId="CharChar1CharCharCharCharCharCharChar1">
    <w:name w:val="Char Char1 Char Char Char Char Char Char Char1"/>
    <w:basedOn w:val="Normal"/>
    <w:rsid w:val="00007EC6"/>
    <w:pPr>
      <w:spacing w:after="160" w:line="240" w:lineRule="exact"/>
    </w:pPr>
    <w:rPr>
      <w:rFonts w:ascii="Verdana" w:hAnsi="Verdana"/>
      <w:lang w:val="en-US"/>
    </w:rPr>
  </w:style>
  <w:style w:type="character" w:customStyle="1" w:styleId="HeaderChar">
    <w:name w:val="Header Char"/>
    <w:link w:val="Header"/>
    <w:uiPriority w:val="99"/>
    <w:rsid w:val="00007EC6"/>
    <w:rPr>
      <w:rFonts w:ascii="Arial" w:hAnsi="Arial"/>
      <w:sz w:val="24"/>
      <w:szCs w:val="24"/>
      <w:lang w:eastAsia="en-US"/>
    </w:rPr>
  </w:style>
  <w:style w:type="character" w:customStyle="1" w:styleId="FooterChar">
    <w:name w:val="Footer Char"/>
    <w:link w:val="Footer"/>
    <w:uiPriority w:val="99"/>
    <w:rsid w:val="00007EC6"/>
    <w:rPr>
      <w:rFonts w:ascii="Arial" w:hAnsi="Arial"/>
      <w:sz w:val="24"/>
      <w:szCs w:val="24"/>
      <w:lang w:eastAsia="en-US"/>
    </w:rPr>
  </w:style>
  <w:style w:type="paragraph" w:customStyle="1" w:styleId="Default">
    <w:name w:val="Default"/>
    <w:rsid w:val="00933643"/>
    <w:pPr>
      <w:autoSpaceDE w:val="0"/>
      <w:autoSpaceDN w:val="0"/>
      <w:adjustRightInd w:val="0"/>
    </w:pPr>
    <w:rPr>
      <w:rFonts w:ascii="Minion Pro" w:hAnsi="Minion Pro" w:cs="Minion Pro"/>
      <w:color w:val="000000"/>
      <w:sz w:val="24"/>
      <w:szCs w:val="24"/>
    </w:rPr>
  </w:style>
  <w:style w:type="numbering" w:customStyle="1" w:styleId="StyleNumberedLeft0cmHanging075cm">
    <w:name w:val="Style Numbered Left:  0 cm Hanging:  0.75 cm"/>
    <w:basedOn w:val="NoList"/>
    <w:rsid w:val="007605A8"/>
    <w:pPr>
      <w:numPr>
        <w:numId w:val="2"/>
      </w:numPr>
    </w:pPr>
  </w:style>
  <w:style w:type="character" w:customStyle="1" w:styleId="ListParagraphChar">
    <w:name w:val="List Paragraph Char"/>
    <w:link w:val="ListParagraph"/>
    <w:uiPriority w:val="34"/>
    <w:rsid w:val="00BD592E"/>
    <w:rPr>
      <w:rFonts w:ascii="Arial" w:hAnsi="Arial"/>
      <w:sz w:val="24"/>
      <w:szCs w:val="24"/>
      <w:lang w:eastAsia="en-US"/>
    </w:rPr>
  </w:style>
  <w:style w:type="paragraph" w:styleId="FootnoteText">
    <w:name w:val="footnote text"/>
    <w:basedOn w:val="Normal"/>
    <w:link w:val="FootnoteTextChar"/>
    <w:rsid w:val="00FD3D07"/>
    <w:pPr>
      <w:spacing w:after="120"/>
    </w:pPr>
    <w:rPr>
      <w:color w:val="000000"/>
      <w:sz w:val="20"/>
      <w:szCs w:val="20"/>
      <w:lang w:eastAsia="en-GB"/>
    </w:rPr>
  </w:style>
  <w:style w:type="character" w:customStyle="1" w:styleId="FootnoteTextChar">
    <w:name w:val="Footnote Text Char"/>
    <w:link w:val="FootnoteText"/>
    <w:rsid w:val="00FD3D07"/>
    <w:rPr>
      <w:rFonts w:ascii="Arial" w:hAnsi="Arial"/>
      <w:color w:val="000000"/>
    </w:rPr>
  </w:style>
  <w:style w:type="character" w:styleId="FootnoteReference">
    <w:name w:val="footnote reference"/>
    <w:rsid w:val="00FD3D07"/>
    <w:rPr>
      <w:vertAlign w:val="superscript"/>
    </w:rPr>
  </w:style>
  <w:style w:type="character" w:customStyle="1" w:styleId="Firstpagetablebold">
    <w:name w:val="First page table: bold"/>
    <w:qFormat/>
    <w:rsid w:val="00C553A7"/>
    <w:rPr>
      <w:rFonts w:ascii="Arial" w:hAnsi="Arial"/>
      <w:b/>
      <w:sz w:val="24"/>
    </w:rPr>
  </w:style>
  <w:style w:type="character" w:styleId="Strong">
    <w:name w:val="Strong"/>
    <w:uiPriority w:val="22"/>
    <w:rsid w:val="00962C40"/>
    <w:rPr>
      <w:b/>
      <w:bCs/>
    </w:rPr>
  </w:style>
  <w:style w:type="character" w:styleId="Emphasis">
    <w:name w:val="Emphasis"/>
    <w:basedOn w:val="DefaultParagraphFont"/>
    <w:rsid w:val="00BD592E"/>
    <w:rPr>
      <w:i/>
      <w:iCs/>
    </w:rPr>
  </w:style>
  <w:style w:type="paragraph" w:customStyle="1" w:styleId="Bullets">
    <w:name w:val="Bullets"/>
    <w:basedOn w:val="Normal"/>
    <w:link w:val="BulletsChar"/>
    <w:qFormat/>
    <w:rsid w:val="00BD592E"/>
    <w:pPr>
      <w:numPr>
        <w:numId w:val="3"/>
      </w:numPr>
      <w:ind w:left="993" w:hanging="425"/>
    </w:pPr>
    <w:rPr>
      <w:bCs/>
    </w:rPr>
  </w:style>
  <w:style w:type="character" w:customStyle="1" w:styleId="BulletsChar">
    <w:name w:val="Bullets Char"/>
    <w:basedOn w:val="DefaultParagraphFont"/>
    <w:link w:val="Bullets"/>
    <w:rsid w:val="00BD592E"/>
    <w:rPr>
      <w:rFonts w:ascii="Arial" w:hAnsi="Arial"/>
      <w:bCs/>
      <w:sz w:val="24"/>
      <w:szCs w:val="24"/>
      <w:lang w:eastAsia="en-US"/>
    </w:rPr>
  </w:style>
  <w:style w:type="paragraph" w:styleId="Revision">
    <w:name w:val="Revision"/>
    <w:hidden/>
    <w:uiPriority w:val="99"/>
    <w:semiHidden/>
    <w:rsid w:val="000B6E64"/>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07376">
      <w:bodyDiv w:val="1"/>
      <w:marLeft w:val="0"/>
      <w:marRight w:val="0"/>
      <w:marTop w:val="0"/>
      <w:marBottom w:val="0"/>
      <w:divBdr>
        <w:top w:val="none" w:sz="0" w:space="0" w:color="auto"/>
        <w:left w:val="none" w:sz="0" w:space="0" w:color="auto"/>
        <w:bottom w:val="none" w:sz="0" w:space="0" w:color="auto"/>
        <w:right w:val="none" w:sz="0" w:space="0" w:color="auto"/>
      </w:divBdr>
    </w:div>
    <w:div w:id="357702848">
      <w:bodyDiv w:val="1"/>
      <w:marLeft w:val="0"/>
      <w:marRight w:val="0"/>
      <w:marTop w:val="0"/>
      <w:marBottom w:val="0"/>
      <w:divBdr>
        <w:top w:val="none" w:sz="0" w:space="0" w:color="auto"/>
        <w:left w:val="none" w:sz="0" w:space="0" w:color="auto"/>
        <w:bottom w:val="none" w:sz="0" w:space="0" w:color="auto"/>
        <w:right w:val="none" w:sz="0" w:space="0" w:color="auto"/>
      </w:divBdr>
    </w:div>
    <w:div w:id="1066689833">
      <w:bodyDiv w:val="1"/>
      <w:marLeft w:val="0"/>
      <w:marRight w:val="0"/>
      <w:marTop w:val="0"/>
      <w:marBottom w:val="0"/>
      <w:divBdr>
        <w:top w:val="none" w:sz="0" w:space="0" w:color="auto"/>
        <w:left w:val="none" w:sz="0" w:space="0" w:color="auto"/>
        <w:bottom w:val="none" w:sz="0" w:space="0" w:color="auto"/>
        <w:right w:val="none" w:sz="0" w:space="0" w:color="auto"/>
      </w:divBdr>
    </w:div>
    <w:div w:id="1504735784">
      <w:bodyDiv w:val="1"/>
      <w:marLeft w:val="0"/>
      <w:marRight w:val="0"/>
      <w:marTop w:val="0"/>
      <w:marBottom w:val="0"/>
      <w:divBdr>
        <w:top w:val="none" w:sz="0" w:space="0" w:color="auto"/>
        <w:left w:val="none" w:sz="0" w:space="0" w:color="auto"/>
        <w:bottom w:val="none" w:sz="0" w:space="0" w:color="auto"/>
        <w:right w:val="none" w:sz="0" w:space="0" w:color="auto"/>
      </w:divBdr>
    </w:div>
    <w:div w:id="1513758349">
      <w:bodyDiv w:val="1"/>
      <w:marLeft w:val="0"/>
      <w:marRight w:val="0"/>
      <w:marTop w:val="0"/>
      <w:marBottom w:val="0"/>
      <w:divBdr>
        <w:top w:val="none" w:sz="0" w:space="0" w:color="auto"/>
        <w:left w:val="none" w:sz="0" w:space="0" w:color="auto"/>
        <w:bottom w:val="none" w:sz="0" w:space="0" w:color="auto"/>
        <w:right w:val="none" w:sz="0" w:space="0" w:color="auto"/>
      </w:divBdr>
    </w:div>
    <w:div w:id="1853060265">
      <w:bodyDiv w:val="1"/>
      <w:marLeft w:val="0"/>
      <w:marRight w:val="0"/>
      <w:marTop w:val="0"/>
      <w:marBottom w:val="0"/>
      <w:divBdr>
        <w:top w:val="none" w:sz="0" w:space="0" w:color="auto"/>
        <w:left w:val="none" w:sz="0" w:space="0" w:color="auto"/>
        <w:bottom w:val="none" w:sz="0" w:space="0" w:color="auto"/>
        <w:right w:val="none" w:sz="0" w:space="0" w:color="auto"/>
      </w:divBdr>
    </w:div>
    <w:div w:id="196858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6923D-1C1D-4ED9-B34B-ABB5A34F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8</Pages>
  <Words>2785</Words>
  <Characters>16108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18856</CharactersWithSpaces>
  <SharedDoc>false</SharedDoc>
  <HLinks>
    <vt:vector size="12" baseType="variant">
      <vt:variant>
        <vt:i4>65662</vt:i4>
      </vt:variant>
      <vt:variant>
        <vt:i4>6</vt:i4>
      </vt:variant>
      <vt:variant>
        <vt:i4>0</vt:i4>
      </vt:variant>
      <vt:variant>
        <vt:i4>5</vt:i4>
      </vt:variant>
      <vt:variant>
        <vt:lpwstr>mailto:thudson@oxford.gov.uk</vt:lpwstr>
      </vt:variant>
      <vt:variant>
        <vt:lpwstr/>
      </vt:variant>
      <vt:variant>
        <vt:i4>6684682</vt:i4>
      </vt:variant>
      <vt:variant>
        <vt:i4>3</vt:i4>
      </vt:variant>
      <vt:variant>
        <vt:i4>0</vt:i4>
      </vt:variant>
      <vt:variant>
        <vt:i4>5</vt:i4>
      </vt:variant>
      <vt:variant>
        <vt:lpwstr>mailto:cllragant@oxford.gov.uk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andrew.brown2</dc:creator>
  <cp:keywords/>
  <cp:lastModifiedBy>COURTNEY Alice</cp:lastModifiedBy>
  <cp:revision>53</cp:revision>
  <cp:lastPrinted>2018-11-05T12:46:00Z</cp:lastPrinted>
  <dcterms:created xsi:type="dcterms:W3CDTF">2022-09-21T11:33:00Z</dcterms:created>
  <dcterms:modified xsi:type="dcterms:W3CDTF">2024-09-11T15:42:00Z</dcterms:modified>
</cp:coreProperties>
</file>